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0008" w14:textId="189344E4" w:rsidR="00305FAE" w:rsidRDefault="00365A8A" w:rsidP="000024CE">
      <w:pPr>
        <w:spacing w:after="0"/>
        <w:jc w:val="center"/>
        <w:rPr>
          <w:rFonts w:ascii="Times New Roman" w:hAnsi="Times New Roman" w:cs="Times New Roman"/>
          <w:b/>
          <w:bCs/>
          <w:sz w:val="28"/>
          <w:szCs w:val="28"/>
        </w:rPr>
      </w:pPr>
      <w:r>
        <w:rPr>
          <w:rFonts w:ascii="Times New Roman" w:hAnsi="Times New Roman" w:cs="Times New Roman"/>
          <w:b/>
          <w:bCs/>
          <w:sz w:val="28"/>
          <w:szCs w:val="28"/>
        </w:rPr>
        <w:t>Eesti Laborimeditsiini Ühingu juhendmaterjal Euroopa Parlamendi ja nõukogu m</w:t>
      </w:r>
      <w:r w:rsidR="000A6BA0" w:rsidRPr="008769D3">
        <w:rPr>
          <w:rFonts w:ascii="Times New Roman" w:hAnsi="Times New Roman" w:cs="Times New Roman"/>
          <w:b/>
          <w:bCs/>
          <w:sz w:val="28"/>
          <w:szCs w:val="28"/>
        </w:rPr>
        <w:t>äär</w:t>
      </w:r>
      <w:r>
        <w:rPr>
          <w:rFonts w:ascii="Times New Roman" w:hAnsi="Times New Roman" w:cs="Times New Roman"/>
          <w:b/>
          <w:bCs/>
          <w:sz w:val="28"/>
          <w:szCs w:val="28"/>
        </w:rPr>
        <w:t>use (EL) 2017/746 kohta</w:t>
      </w:r>
    </w:p>
    <w:p w14:paraId="1E57E93B" w14:textId="77777777" w:rsidR="008769D3" w:rsidRPr="008769D3" w:rsidRDefault="008769D3" w:rsidP="000024CE">
      <w:pPr>
        <w:spacing w:after="0"/>
        <w:jc w:val="center"/>
        <w:rPr>
          <w:rFonts w:ascii="Times New Roman" w:hAnsi="Times New Roman" w:cs="Times New Roman"/>
          <w:b/>
          <w:bCs/>
          <w:sz w:val="28"/>
          <w:szCs w:val="28"/>
        </w:rPr>
      </w:pPr>
    </w:p>
    <w:p w14:paraId="2D9B4A5C" w14:textId="77777777" w:rsidR="008769D3" w:rsidRPr="008769D3" w:rsidRDefault="008769D3" w:rsidP="000024CE">
      <w:pPr>
        <w:spacing w:after="0"/>
        <w:jc w:val="both"/>
        <w:rPr>
          <w:rFonts w:ascii="Times New Roman" w:hAnsi="Times New Roman" w:cs="Times New Roman"/>
          <w:bCs/>
          <w:sz w:val="24"/>
          <w:szCs w:val="24"/>
        </w:rPr>
      </w:pPr>
      <w:r w:rsidRPr="008769D3">
        <w:rPr>
          <w:rFonts w:ascii="Times New Roman" w:hAnsi="Times New Roman" w:cs="Times New Roman"/>
          <w:bCs/>
          <w:sz w:val="24"/>
          <w:szCs w:val="24"/>
        </w:rPr>
        <w:t xml:space="preserve">Tiina Kahre, Piret Kedars, Merle Keps, </w:t>
      </w:r>
      <w:proofErr w:type="spellStart"/>
      <w:r w:rsidRPr="008769D3">
        <w:rPr>
          <w:rFonts w:ascii="Times New Roman" w:hAnsi="Times New Roman" w:cs="Times New Roman"/>
          <w:bCs/>
          <w:sz w:val="24"/>
          <w:szCs w:val="24"/>
        </w:rPr>
        <w:t>Kedy</w:t>
      </w:r>
      <w:proofErr w:type="spellEnd"/>
      <w:r w:rsidRPr="008769D3">
        <w:rPr>
          <w:rFonts w:ascii="Times New Roman" w:hAnsi="Times New Roman" w:cs="Times New Roman"/>
          <w:bCs/>
          <w:sz w:val="24"/>
          <w:szCs w:val="24"/>
        </w:rPr>
        <w:t xml:space="preserve"> </w:t>
      </w:r>
      <w:proofErr w:type="spellStart"/>
      <w:r w:rsidRPr="008769D3">
        <w:rPr>
          <w:rFonts w:ascii="Times New Roman" w:hAnsi="Times New Roman" w:cs="Times New Roman"/>
          <w:bCs/>
          <w:sz w:val="24"/>
          <w:szCs w:val="24"/>
        </w:rPr>
        <w:t>Medar</w:t>
      </w:r>
      <w:proofErr w:type="spellEnd"/>
      <w:r w:rsidRPr="008769D3">
        <w:rPr>
          <w:rFonts w:ascii="Times New Roman" w:hAnsi="Times New Roman" w:cs="Times New Roman"/>
          <w:bCs/>
          <w:sz w:val="24"/>
          <w:szCs w:val="24"/>
        </w:rPr>
        <w:t>, Signe Mölder, Margarita Mürk, Mari Nelis, Sander Pajusalu, Piret Põiklik, Monica Tilk</w:t>
      </w:r>
      <w:bookmarkStart w:id="0" w:name="_GoBack"/>
      <w:bookmarkEnd w:id="0"/>
      <w:r w:rsidRPr="008769D3">
        <w:rPr>
          <w:rFonts w:ascii="Times New Roman" w:hAnsi="Times New Roman" w:cs="Times New Roman"/>
          <w:bCs/>
          <w:sz w:val="24"/>
          <w:szCs w:val="24"/>
        </w:rPr>
        <w:t>, Neeme Tõnisson, Kai Jõers</w:t>
      </w:r>
    </w:p>
    <w:p w14:paraId="398081AA" w14:textId="77777777" w:rsidR="008769D3" w:rsidRPr="00AE6111" w:rsidRDefault="008769D3" w:rsidP="000024CE">
      <w:pPr>
        <w:pBdr>
          <w:bottom w:val="single" w:sz="4" w:space="1" w:color="auto"/>
        </w:pBdr>
        <w:spacing w:after="0"/>
        <w:jc w:val="both"/>
        <w:rPr>
          <w:rFonts w:ascii="Times New Roman" w:hAnsi="Times New Roman" w:cs="Times New Roman"/>
          <w:bCs/>
        </w:rPr>
      </w:pPr>
      <w:r w:rsidRPr="00AE6111">
        <w:rPr>
          <w:rFonts w:ascii="Times New Roman" w:hAnsi="Times New Roman" w:cs="Times New Roman"/>
          <w:bCs/>
        </w:rPr>
        <w:t>Eesti Laborimeditsiini Ühingu IVDR määruse (EL) 2017/746 rakendamise töörühm, 31.07.2023</w:t>
      </w:r>
    </w:p>
    <w:p w14:paraId="11FB3339" w14:textId="77777777" w:rsidR="008769D3" w:rsidRPr="008769D3" w:rsidRDefault="008769D3" w:rsidP="000024CE">
      <w:pPr>
        <w:spacing w:after="0"/>
        <w:jc w:val="both"/>
        <w:rPr>
          <w:rFonts w:ascii="Times New Roman" w:hAnsi="Times New Roman" w:cs="Times New Roman"/>
          <w:bCs/>
          <w:sz w:val="24"/>
          <w:szCs w:val="24"/>
        </w:rPr>
      </w:pPr>
    </w:p>
    <w:sdt>
      <w:sdtPr>
        <w:rPr>
          <w:rFonts w:ascii="Times New Roman" w:eastAsiaTheme="minorHAnsi" w:hAnsi="Times New Roman" w:cs="Times New Roman"/>
          <w:color w:val="auto"/>
          <w:sz w:val="24"/>
          <w:szCs w:val="24"/>
          <w:lang w:eastAsia="en-US"/>
        </w:rPr>
        <w:id w:val="1923140884"/>
        <w:docPartObj>
          <w:docPartGallery w:val="Table of Contents"/>
          <w:docPartUnique/>
        </w:docPartObj>
      </w:sdtPr>
      <w:sdtEndPr/>
      <w:sdtContent>
        <w:p w14:paraId="6CE8CABA" w14:textId="77777777" w:rsidR="00305FAE" w:rsidRPr="00671D29" w:rsidRDefault="000A6BA0" w:rsidP="000024CE">
          <w:pPr>
            <w:pStyle w:val="Sisukorrapealkiri"/>
            <w:spacing w:before="0"/>
            <w:jc w:val="both"/>
            <w:rPr>
              <w:rFonts w:ascii="Times New Roman" w:hAnsi="Times New Roman" w:cs="Times New Roman"/>
              <w:color w:val="auto"/>
              <w:sz w:val="24"/>
              <w:szCs w:val="24"/>
            </w:rPr>
          </w:pPr>
          <w:r w:rsidRPr="00671D29">
            <w:rPr>
              <w:rFonts w:ascii="Times New Roman" w:hAnsi="Times New Roman" w:cs="Times New Roman"/>
              <w:color w:val="auto"/>
              <w:sz w:val="24"/>
              <w:szCs w:val="24"/>
            </w:rPr>
            <w:t>Sisukord</w:t>
          </w:r>
        </w:p>
        <w:p w14:paraId="39B6242D" w14:textId="2BA21F90" w:rsidR="00671D29" w:rsidRPr="00671D29" w:rsidRDefault="000A6BA0" w:rsidP="000024CE">
          <w:pPr>
            <w:pStyle w:val="SK1"/>
            <w:tabs>
              <w:tab w:val="left" w:pos="440"/>
              <w:tab w:val="right" w:leader="dot" w:pos="9062"/>
            </w:tabs>
            <w:spacing w:after="0"/>
            <w:rPr>
              <w:rFonts w:eastAsiaTheme="minorEastAsia"/>
              <w:noProof/>
              <w:lang w:eastAsia="et-EE"/>
            </w:rPr>
          </w:pPr>
          <w:r w:rsidRPr="00671D29">
            <w:rPr>
              <w:rFonts w:ascii="Times New Roman" w:hAnsi="Times New Roman" w:cs="Times New Roman"/>
              <w:sz w:val="24"/>
              <w:szCs w:val="24"/>
            </w:rPr>
            <w:fldChar w:fldCharType="begin"/>
          </w:r>
          <w:r w:rsidRPr="00671D29">
            <w:rPr>
              <w:rStyle w:val="IndexLink"/>
              <w:rFonts w:ascii="Times New Roman" w:hAnsi="Times New Roman" w:cs="Times New Roman"/>
              <w:webHidden/>
              <w:sz w:val="24"/>
              <w:szCs w:val="24"/>
            </w:rPr>
            <w:instrText xml:space="preserve"> TOC \z \o "1-3" \u \h</w:instrText>
          </w:r>
          <w:r w:rsidRPr="00671D29">
            <w:rPr>
              <w:rStyle w:val="IndexLink"/>
            </w:rPr>
            <w:fldChar w:fldCharType="separate"/>
          </w:r>
          <w:hyperlink w:anchor="_Toc163656443" w:history="1">
            <w:r w:rsidR="00671D29" w:rsidRPr="00671D29">
              <w:rPr>
                <w:rStyle w:val="Hperlink"/>
                <w:rFonts w:ascii="Times New Roman" w:hAnsi="Times New Roman" w:cs="Times New Roman"/>
                <w:noProof/>
              </w:rPr>
              <w:t>I.</w:t>
            </w:r>
            <w:r w:rsidR="00671D29" w:rsidRPr="00671D29">
              <w:rPr>
                <w:rFonts w:eastAsiaTheme="minorEastAsia"/>
                <w:noProof/>
                <w:lang w:eastAsia="et-EE"/>
              </w:rPr>
              <w:tab/>
            </w:r>
            <w:r w:rsidR="00671D29" w:rsidRPr="00671D29">
              <w:rPr>
                <w:rStyle w:val="Hperlink"/>
                <w:rFonts w:ascii="Times New Roman" w:hAnsi="Times New Roman" w:cs="Times New Roman"/>
                <w:noProof/>
              </w:rPr>
              <w:t>Definitsioonid</w:t>
            </w:r>
            <w:r w:rsidR="00671D29" w:rsidRPr="00671D29">
              <w:rPr>
                <w:noProof/>
                <w:webHidden/>
              </w:rPr>
              <w:tab/>
            </w:r>
            <w:r w:rsidR="00671D29" w:rsidRPr="00671D29">
              <w:rPr>
                <w:noProof/>
                <w:webHidden/>
              </w:rPr>
              <w:fldChar w:fldCharType="begin"/>
            </w:r>
            <w:r w:rsidR="00671D29" w:rsidRPr="00671D29">
              <w:rPr>
                <w:noProof/>
                <w:webHidden/>
              </w:rPr>
              <w:instrText xml:space="preserve"> PAGEREF _Toc163656443 \h </w:instrText>
            </w:r>
            <w:r w:rsidR="00671D29" w:rsidRPr="00671D29">
              <w:rPr>
                <w:noProof/>
                <w:webHidden/>
              </w:rPr>
            </w:r>
            <w:r w:rsidR="00671D29" w:rsidRPr="00671D29">
              <w:rPr>
                <w:noProof/>
                <w:webHidden/>
              </w:rPr>
              <w:fldChar w:fldCharType="separate"/>
            </w:r>
            <w:r w:rsidR="007B64AA">
              <w:rPr>
                <w:noProof/>
                <w:webHidden/>
              </w:rPr>
              <w:t>1</w:t>
            </w:r>
            <w:r w:rsidR="00671D29" w:rsidRPr="00671D29">
              <w:rPr>
                <w:noProof/>
                <w:webHidden/>
              </w:rPr>
              <w:fldChar w:fldCharType="end"/>
            </w:r>
          </w:hyperlink>
        </w:p>
        <w:p w14:paraId="1B96ADB0" w14:textId="46B1FD92" w:rsidR="00671D29" w:rsidRPr="00671D29" w:rsidRDefault="007B64AA" w:rsidP="000024CE">
          <w:pPr>
            <w:pStyle w:val="SK1"/>
            <w:tabs>
              <w:tab w:val="left" w:pos="660"/>
              <w:tab w:val="right" w:leader="dot" w:pos="9062"/>
            </w:tabs>
            <w:spacing w:after="0"/>
            <w:rPr>
              <w:rFonts w:eastAsiaTheme="minorEastAsia"/>
              <w:noProof/>
              <w:lang w:eastAsia="et-EE"/>
            </w:rPr>
          </w:pPr>
          <w:hyperlink w:anchor="_Toc163656444" w:history="1">
            <w:r w:rsidR="00671D29" w:rsidRPr="00671D29">
              <w:rPr>
                <w:rStyle w:val="Hperlink"/>
                <w:rFonts w:ascii="Times New Roman" w:hAnsi="Times New Roman" w:cs="Times New Roman"/>
                <w:noProof/>
              </w:rPr>
              <w:t>II.</w:t>
            </w:r>
            <w:r w:rsidR="00671D29" w:rsidRPr="00671D29">
              <w:rPr>
                <w:rFonts w:eastAsiaTheme="minorEastAsia"/>
                <w:noProof/>
                <w:lang w:eastAsia="et-EE"/>
              </w:rPr>
              <w:tab/>
            </w:r>
            <w:r w:rsidR="00671D29" w:rsidRPr="00671D29">
              <w:rPr>
                <w:rStyle w:val="Hperlink"/>
                <w:rFonts w:ascii="Times New Roman" w:hAnsi="Times New Roman" w:cs="Times New Roman"/>
                <w:noProof/>
              </w:rPr>
              <w:t>Üleminekusätted. Määrus (EL) 2017/746, artikkel 110</w:t>
            </w:r>
            <w:r w:rsidR="00671D29" w:rsidRPr="00671D29">
              <w:rPr>
                <w:noProof/>
                <w:webHidden/>
              </w:rPr>
              <w:tab/>
            </w:r>
            <w:r w:rsidR="00671D29" w:rsidRPr="00671D29">
              <w:rPr>
                <w:noProof/>
                <w:webHidden/>
              </w:rPr>
              <w:fldChar w:fldCharType="begin"/>
            </w:r>
            <w:r w:rsidR="00671D29" w:rsidRPr="00671D29">
              <w:rPr>
                <w:noProof/>
                <w:webHidden/>
              </w:rPr>
              <w:instrText xml:space="preserve"> PAGEREF _Toc163656444 \h </w:instrText>
            </w:r>
            <w:r w:rsidR="00671D29" w:rsidRPr="00671D29">
              <w:rPr>
                <w:noProof/>
                <w:webHidden/>
              </w:rPr>
            </w:r>
            <w:r w:rsidR="00671D29" w:rsidRPr="00671D29">
              <w:rPr>
                <w:noProof/>
                <w:webHidden/>
              </w:rPr>
              <w:fldChar w:fldCharType="separate"/>
            </w:r>
            <w:r>
              <w:rPr>
                <w:noProof/>
                <w:webHidden/>
              </w:rPr>
              <w:t>2</w:t>
            </w:r>
            <w:r w:rsidR="00671D29" w:rsidRPr="00671D29">
              <w:rPr>
                <w:noProof/>
                <w:webHidden/>
              </w:rPr>
              <w:fldChar w:fldCharType="end"/>
            </w:r>
          </w:hyperlink>
        </w:p>
        <w:p w14:paraId="7E91FC85" w14:textId="1AB3E6F6" w:rsidR="00671D29" w:rsidRPr="00671D29" w:rsidRDefault="007B64AA" w:rsidP="000024CE">
          <w:pPr>
            <w:pStyle w:val="SK1"/>
            <w:tabs>
              <w:tab w:val="left" w:pos="660"/>
              <w:tab w:val="right" w:leader="dot" w:pos="9062"/>
            </w:tabs>
            <w:spacing w:after="0"/>
            <w:rPr>
              <w:rFonts w:eastAsiaTheme="minorEastAsia"/>
              <w:noProof/>
              <w:lang w:eastAsia="et-EE"/>
            </w:rPr>
          </w:pPr>
          <w:hyperlink w:anchor="_Toc163656445" w:history="1">
            <w:r w:rsidR="00671D29" w:rsidRPr="00671D29">
              <w:rPr>
                <w:rStyle w:val="Hperlink"/>
                <w:rFonts w:ascii="Times New Roman" w:hAnsi="Times New Roman" w:cs="Times New Roman"/>
                <w:noProof/>
              </w:rPr>
              <w:t>III.</w:t>
            </w:r>
            <w:r w:rsidR="00671D29" w:rsidRPr="00671D29">
              <w:rPr>
                <w:rFonts w:eastAsiaTheme="minorEastAsia"/>
                <w:noProof/>
                <w:lang w:eastAsia="et-EE"/>
              </w:rPr>
              <w:tab/>
            </w:r>
            <w:r w:rsidR="00671D29" w:rsidRPr="00671D29">
              <w:rPr>
                <w:rStyle w:val="Hperlink"/>
                <w:rFonts w:ascii="Times New Roman" w:hAnsi="Times New Roman" w:cs="Times New Roman"/>
                <w:noProof/>
              </w:rPr>
              <w:t>Üleminekuperioodil kasutatavate seadmete hanked</w:t>
            </w:r>
            <w:r w:rsidR="00671D29" w:rsidRPr="00671D29">
              <w:rPr>
                <w:noProof/>
                <w:webHidden/>
              </w:rPr>
              <w:tab/>
            </w:r>
            <w:r w:rsidR="00671D29" w:rsidRPr="00671D29">
              <w:rPr>
                <w:noProof/>
                <w:webHidden/>
              </w:rPr>
              <w:fldChar w:fldCharType="begin"/>
            </w:r>
            <w:r w:rsidR="00671D29" w:rsidRPr="00671D29">
              <w:rPr>
                <w:noProof/>
                <w:webHidden/>
              </w:rPr>
              <w:instrText xml:space="preserve"> PAGEREF _Toc163656445 \h </w:instrText>
            </w:r>
            <w:r w:rsidR="00671D29" w:rsidRPr="00671D29">
              <w:rPr>
                <w:noProof/>
                <w:webHidden/>
              </w:rPr>
            </w:r>
            <w:r w:rsidR="00671D29" w:rsidRPr="00671D29">
              <w:rPr>
                <w:noProof/>
                <w:webHidden/>
              </w:rPr>
              <w:fldChar w:fldCharType="separate"/>
            </w:r>
            <w:r>
              <w:rPr>
                <w:noProof/>
                <w:webHidden/>
              </w:rPr>
              <w:t>4</w:t>
            </w:r>
            <w:r w:rsidR="00671D29" w:rsidRPr="00671D29">
              <w:rPr>
                <w:noProof/>
                <w:webHidden/>
              </w:rPr>
              <w:fldChar w:fldCharType="end"/>
            </w:r>
          </w:hyperlink>
        </w:p>
        <w:p w14:paraId="41917460" w14:textId="1F8FF68D" w:rsidR="00671D29" w:rsidRPr="00671D29" w:rsidRDefault="007B64AA" w:rsidP="000024CE">
          <w:pPr>
            <w:pStyle w:val="SK1"/>
            <w:tabs>
              <w:tab w:val="left" w:pos="660"/>
              <w:tab w:val="right" w:leader="dot" w:pos="9062"/>
            </w:tabs>
            <w:spacing w:after="0"/>
            <w:rPr>
              <w:rFonts w:eastAsiaTheme="minorEastAsia"/>
              <w:noProof/>
              <w:lang w:eastAsia="et-EE"/>
            </w:rPr>
          </w:pPr>
          <w:hyperlink w:anchor="_Toc163656446" w:history="1">
            <w:r w:rsidR="00671D29" w:rsidRPr="00671D29">
              <w:rPr>
                <w:rStyle w:val="Hperlink"/>
                <w:rFonts w:ascii="Times New Roman" w:hAnsi="Times New Roman" w:cs="Times New Roman"/>
                <w:noProof/>
              </w:rPr>
              <w:t>IV.</w:t>
            </w:r>
            <w:r w:rsidR="00671D29" w:rsidRPr="00671D29">
              <w:rPr>
                <w:rFonts w:eastAsiaTheme="minorEastAsia"/>
                <w:noProof/>
                <w:lang w:eastAsia="et-EE"/>
              </w:rPr>
              <w:tab/>
            </w:r>
            <w:r w:rsidR="00671D29" w:rsidRPr="00671D29">
              <w:rPr>
                <w:rStyle w:val="Hperlink"/>
                <w:rFonts w:ascii="Times New Roman" w:hAnsi="Times New Roman" w:cs="Times New Roman"/>
                <w:noProof/>
              </w:rPr>
              <w:t>Mitte konkreetse analüüsiga seotud seadmed</w:t>
            </w:r>
            <w:r w:rsidR="00671D29" w:rsidRPr="00671D29">
              <w:rPr>
                <w:noProof/>
                <w:webHidden/>
              </w:rPr>
              <w:tab/>
            </w:r>
            <w:r w:rsidR="00671D29" w:rsidRPr="00671D29">
              <w:rPr>
                <w:noProof/>
                <w:webHidden/>
              </w:rPr>
              <w:fldChar w:fldCharType="begin"/>
            </w:r>
            <w:r w:rsidR="00671D29" w:rsidRPr="00671D29">
              <w:rPr>
                <w:noProof/>
                <w:webHidden/>
              </w:rPr>
              <w:instrText xml:space="preserve"> PAGEREF _Toc163656446 \h </w:instrText>
            </w:r>
            <w:r w:rsidR="00671D29" w:rsidRPr="00671D29">
              <w:rPr>
                <w:noProof/>
                <w:webHidden/>
              </w:rPr>
            </w:r>
            <w:r w:rsidR="00671D29" w:rsidRPr="00671D29">
              <w:rPr>
                <w:noProof/>
                <w:webHidden/>
              </w:rPr>
              <w:fldChar w:fldCharType="separate"/>
            </w:r>
            <w:r>
              <w:rPr>
                <w:noProof/>
                <w:webHidden/>
              </w:rPr>
              <w:t>4</w:t>
            </w:r>
            <w:r w:rsidR="00671D29" w:rsidRPr="00671D29">
              <w:rPr>
                <w:noProof/>
                <w:webHidden/>
              </w:rPr>
              <w:fldChar w:fldCharType="end"/>
            </w:r>
          </w:hyperlink>
        </w:p>
        <w:p w14:paraId="042A5CAC" w14:textId="0615E444" w:rsidR="00671D29" w:rsidRPr="00671D29" w:rsidRDefault="007B64AA" w:rsidP="000024CE">
          <w:pPr>
            <w:pStyle w:val="SK1"/>
            <w:tabs>
              <w:tab w:val="left" w:pos="440"/>
              <w:tab w:val="right" w:leader="dot" w:pos="9062"/>
            </w:tabs>
            <w:spacing w:after="0"/>
            <w:rPr>
              <w:rFonts w:eastAsiaTheme="minorEastAsia"/>
              <w:noProof/>
              <w:lang w:eastAsia="et-EE"/>
            </w:rPr>
          </w:pPr>
          <w:hyperlink w:anchor="_Toc163656447" w:history="1">
            <w:r w:rsidR="00671D29" w:rsidRPr="00671D29">
              <w:rPr>
                <w:rStyle w:val="Hperlink"/>
                <w:rFonts w:ascii="Times New Roman" w:hAnsi="Times New Roman" w:cs="Times New Roman"/>
                <w:noProof/>
              </w:rPr>
              <w:t>V.</w:t>
            </w:r>
            <w:r w:rsidR="00671D29" w:rsidRPr="00671D29">
              <w:rPr>
                <w:rFonts w:eastAsiaTheme="minorEastAsia"/>
                <w:noProof/>
                <w:lang w:eastAsia="et-EE"/>
              </w:rPr>
              <w:tab/>
            </w:r>
            <w:r w:rsidR="00671D29" w:rsidRPr="00671D29">
              <w:rPr>
                <w:rStyle w:val="Hperlink"/>
                <w:rFonts w:ascii="Times New Roman" w:hAnsi="Times New Roman" w:cs="Times New Roman"/>
                <w:noProof/>
              </w:rPr>
              <w:t>Seadmed, mis on valmistatud tervishoiuasutuses ehk LDT seadmed</w:t>
            </w:r>
            <w:r w:rsidR="00671D29" w:rsidRPr="00671D29">
              <w:rPr>
                <w:noProof/>
                <w:webHidden/>
              </w:rPr>
              <w:tab/>
            </w:r>
            <w:r w:rsidR="00671D29" w:rsidRPr="00671D29">
              <w:rPr>
                <w:noProof/>
                <w:webHidden/>
              </w:rPr>
              <w:fldChar w:fldCharType="begin"/>
            </w:r>
            <w:r w:rsidR="00671D29" w:rsidRPr="00671D29">
              <w:rPr>
                <w:noProof/>
                <w:webHidden/>
              </w:rPr>
              <w:instrText xml:space="preserve"> PAGEREF _Toc163656447 \h </w:instrText>
            </w:r>
            <w:r w:rsidR="00671D29" w:rsidRPr="00671D29">
              <w:rPr>
                <w:noProof/>
                <w:webHidden/>
              </w:rPr>
            </w:r>
            <w:r w:rsidR="00671D29" w:rsidRPr="00671D29">
              <w:rPr>
                <w:noProof/>
                <w:webHidden/>
              </w:rPr>
              <w:fldChar w:fldCharType="separate"/>
            </w:r>
            <w:r>
              <w:rPr>
                <w:noProof/>
                <w:webHidden/>
              </w:rPr>
              <w:t>5</w:t>
            </w:r>
            <w:r w:rsidR="00671D29" w:rsidRPr="00671D29">
              <w:rPr>
                <w:noProof/>
                <w:webHidden/>
              </w:rPr>
              <w:fldChar w:fldCharType="end"/>
            </w:r>
          </w:hyperlink>
        </w:p>
        <w:p w14:paraId="6831E522" w14:textId="77777777" w:rsidR="00305FAE" w:rsidRPr="005B679D" w:rsidRDefault="000A6BA0" w:rsidP="000024CE">
          <w:pPr>
            <w:spacing w:after="0"/>
            <w:jc w:val="both"/>
            <w:rPr>
              <w:rFonts w:ascii="Times New Roman" w:hAnsi="Times New Roman" w:cs="Times New Roman"/>
              <w:sz w:val="24"/>
              <w:szCs w:val="24"/>
            </w:rPr>
          </w:pPr>
          <w:r w:rsidRPr="00671D29">
            <w:rPr>
              <w:rFonts w:ascii="Times New Roman" w:hAnsi="Times New Roman" w:cs="Times New Roman"/>
              <w:sz w:val="24"/>
              <w:szCs w:val="24"/>
            </w:rPr>
            <w:fldChar w:fldCharType="end"/>
          </w:r>
        </w:p>
      </w:sdtContent>
    </w:sdt>
    <w:p w14:paraId="5D304176" w14:textId="77777777" w:rsidR="005B679D" w:rsidRPr="005B679D" w:rsidRDefault="000A6BA0" w:rsidP="000024CE">
      <w:pPr>
        <w:pStyle w:val="Pealkiri1"/>
        <w:numPr>
          <w:ilvl w:val="0"/>
          <w:numId w:val="4"/>
        </w:numPr>
        <w:spacing w:before="0"/>
        <w:jc w:val="both"/>
        <w:rPr>
          <w:rFonts w:ascii="Times New Roman" w:hAnsi="Times New Roman" w:cs="Times New Roman"/>
          <w:b/>
          <w:color w:val="auto"/>
          <w:sz w:val="24"/>
          <w:szCs w:val="24"/>
        </w:rPr>
      </w:pPr>
      <w:bookmarkStart w:id="1" w:name="_Toc163656443"/>
      <w:r w:rsidRPr="005B679D">
        <w:rPr>
          <w:rFonts w:ascii="Times New Roman" w:hAnsi="Times New Roman" w:cs="Times New Roman"/>
          <w:b/>
          <w:color w:val="auto"/>
          <w:sz w:val="24"/>
          <w:szCs w:val="24"/>
        </w:rPr>
        <w:t>Definitsioonid</w:t>
      </w:r>
      <w:bookmarkEnd w:id="1"/>
    </w:p>
    <w:p w14:paraId="1F4C2C3A" w14:textId="005FE912" w:rsidR="00305FAE" w:rsidRDefault="000A6BA0" w:rsidP="000024CE">
      <w:pPr>
        <w:spacing w:after="0"/>
        <w:jc w:val="both"/>
        <w:rPr>
          <w:rFonts w:ascii="Times New Roman" w:hAnsi="Times New Roman" w:cs="Times New Roman"/>
          <w:sz w:val="24"/>
          <w:szCs w:val="24"/>
        </w:rPr>
      </w:pPr>
      <w:r w:rsidRPr="005B679D">
        <w:rPr>
          <w:rFonts w:ascii="Times New Roman" w:hAnsi="Times New Roman" w:cs="Times New Roman"/>
          <w:b/>
          <w:bCs/>
          <w:sz w:val="24"/>
          <w:szCs w:val="24"/>
        </w:rPr>
        <w:t xml:space="preserve">IVDD </w:t>
      </w:r>
      <w:r w:rsidRPr="005B679D">
        <w:rPr>
          <w:rFonts w:ascii="Times New Roman" w:hAnsi="Times New Roman" w:cs="Times New Roman"/>
          <w:sz w:val="24"/>
          <w:szCs w:val="24"/>
        </w:rPr>
        <w:t xml:space="preserve">- Euroopa Parlamendi ja nõukogu direktiiv 98/79/EÜ, 27. oktoober 1998, meditsiiniliste </w:t>
      </w:r>
      <w:r w:rsidRPr="005B679D">
        <w:rPr>
          <w:rFonts w:ascii="Times New Roman" w:hAnsi="Times New Roman" w:cs="Times New Roman"/>
          <w:i/>
          <w:iCs/>
          <w:sz w:val="24"/>
          <w:szCs w:val="24"/>
        </w:rPr>
        <w:t xml:space="preserve">in </w:t>
      </w:r>
      <w:proofErr w:type="spellStart"/>
      <w:r w:rsidRPr="005B679D">
        <w:rPr>
          <w:rFonts w:ascii="Times New Roman" w:hAnsi="Times New Roman" w:cs="Times New Roman"/>
          <w:i/>
          <w:iCs/>
          <w:sz w:val="24"/>
          <w:szCs w:val="24"/>
        </w:rPr>
        <w:t>vitro</w:t>
      </w:r>
      <w:proofErr w:type="spellEnd"/>
      <w:r w:rsidRPr="005B679D">
        <w:rPr>
          <w:rFonts w:ascii="Times New Roman" w:hAnsi="Times New Roman" w:cs="Times New Roman"/>
          <w:sz w:val="24"/>
          <w:szCs w:val="24"/>
        </w:rPr>
        <w:t xml:space="preserve"> diagnostikavahendite kohta (</w:t>
      </w:r>
      <w:hyperlink r:id="rId8">
        <w:r w:rsidRPr="005B679D">
          <w:rPr>
            <w:rStyle w:val="Hperlink"/>
            <w:rFonts w:ascii="Times New Roman" w:hAnsi="Times New Roman" w:cs="Times New Roman"/>
            <w:sz w:val="24"/>
            <w:szCs w:val="24"/>
          </w:rPr>
          <w:t>https://eur-lex.europa.eu/legal-content/EN/TXT/?uri=CELEX%3A01998L0079-20120111</w:t>
        </w:r>
      </w:hyperlink>
      <w:r w:rsidRPr="005B679D">
        <w:rPr>
          <w:rFonts w:ascii="Times New Roman" w:hAnsi="Times New Roman" w:cs="Times New Roman"/>
          <w:sz w:val="24"/>
          <w:szCs w:val="24"/>
        </w:rPr>
        <w:t xml:space="preserve">) </w:t>
      </w:r>
    </w:p>
    <w:p w14:paraId="7A7D041E" w14:textId="77777777" w:rsidR="000024CE" w:rsidRPr="005B679D" w:rsidRDefault="000024CE" w:rsidP="000024CE">
      <w:pPr>
        <w:spacing w:after="0"/>
        <w:jc w:val="both"/>
        <w:rPr>
          <w:rFonts w:ascii="Times New Roman" w:hAnsi="Times New Roman" w:cs="Times New Roman"/>
          <w:sz w:val="24"/>
          <w:szCs w:val="24"/>
        </w:rPr>
      </w:pPr>
    </w:p>
    <w:p w14:paraId="4849772D" w14:textId="07B651E6" w:rsidR="00305FAE" w:rsidRDefault="000A6BA0" w:rsidP="000024CE">
      <w:pPr>
        <w:spacing w:after="0"/>
        <w:jc w:val="both"/>
        <w:rPr>
          <w:rFonts w:ascii="Times New Roman" w:hAnsi="Times New Roman" w:cs="Times New Roman"/>
          <w:sz w:val="24"/>
          <w:szCs w:val="24"/>
        </w:rPr>
      </w:pPr>
      <w:r w:rsidRPr="005B679D">
        <w:rPr>
          <w:rFonts w:ascii="Times New Roman" w:hAnsi="Times New Roman" w:cs="Times New Roman"/>
          <w:b/>
          <w:bCs/>
          <w:sz w:val="24"/>
          <w:szCs w:val="24"/>
        </w:rPr>
        <w:t>IVDR</w:t>
      </w:r>
      <w:r w:rsidRPr="005B679D">
        <w:rPr>
          <w:rFonts w:ascii="Times New Roman" w:hAnsi="Times New Roman" w:cs="Times New Roman"/>
          <w:sz w:val="24"/>
          <w:szCs w:val="24"/>
        </w:rPr>
        <w:t xml:space="preserve"> - Euroopa Parlamendi ja nõukogu määrus (EL) 2017/746, 5. aprill 2017, </w:t>
      </w:r>
      <w:r w:rsidRPr="005B679D">
        <w:rPr>
          <w:rFonts w:ascii="Times New Roman" w:hAnsi="Times New Roman" w:cs="Times New Roman"/>
          <w:i/>
          <w:iCs/>
          <w:sz w:val="24"/>
          <w:szCs w:val="24"/>
        </w:rPr>
        <w:t xml:space="preserve">in </w:t>
      </w:r>
      <w:proofErr w:type="spellStart"/>
      <w:r w:rsidRPr="005B679D">
        <w:rPr>
          <w:rFonts w:ascii="Times New Roman" w:hAnsi="Times New Roman" w:cs="Times New Roman"/>
          <w:i/>
          <w:iCs/>
          <w:sz w:val="24"/>
          <w:szCs w:val="24"/>
        </w:rPr>
        <w:t>vitro</w:t>
      </w:r>
      <w:proofErr w:type="spellEnd"/>
      <w:r w:rsidRPr="005B679D">
        <w:rPr>
          <w:rFonts w:ascii="Times New Roman" w:hAnsi="Times New Roman" w:cs="Times New Roman"/>
          <w:sz w:val="24"/>
          <w:szCs w:val="24"/>
        </w:rPr>
        <w:t xml:space="preserve"> diagnostikameditsiiniseadmete kohta ning millega tunnistatakse kehtetuks direktiiv 98/79/EÜ ja komisjoni otsus 2010/227/EL (</w:t>
      </w:r>
      <w:hyperlink r:id="rId9" w:history="1">
        <w:r w:rsidR="000C3A52" w:rsidRPr="005B679D">
          <w:rPr>
            <w:rStyle w:val="Hperlink"/>
            <w:rFonts w:ascii="Times New Roman" w:hAnsi="Times New Roman" w:cs="Times New Roman"/>
            <w:sz w:val="24"/>
            <w:szCs w:val="24"/>
          </w:rPr>
          <w:t>https://eur-lex.europa.eu/legal-content/EN/TXT/?uri=CELEX%3A02017R0746-20230320</w:t>
        </w:r>
      </w:hyperlink>
      <w:r w:rsidRPr="005B679D">
        <w:rPr>
          <w:rFonts w:ascii="Times New Roman" w:hAnsi="Times New Roman" w:cs="Times New Roman"/>
          <w:sz w:val="24"/>
          <w:szCs w:val="24"/>
        </w:rPr>
        <w:t xml:space="preserve">) </w:t>
      </w:r>
    </w:p>
    <w:p w14:paraId="7870A2F8" w14:textId="77777777" w:rsidR="000024CE" w:rsidRPr="005B679D" w:rsidRDefault="000024CE" w:rsidP="000024CE">
      <w:pPr>
        <w:spacing w:after="0"/>
        <w:jc w:val="both"/>
        <w:rPr>
          <w:rFonts w:ascii="Times New Roman" w:hAnsi="Times New Roman" w:cs="Times New Roman"/>
          <w:sz w:val="24"/>
          <w:szCs w:val="24"/>
        </w:rPr>
      </w:pPr>
    </w:p>
    <w:p w14:paraId="456DC57A" w14:textId="5C0085E4" w:rsidR="002F5C60" w:rsidRDefault="002F5C60" w:rsidP="000024CE">
      <w:pPr>
        <w:spacing w:after="0"/>
        <w:jc w:val="both"/>
        <w:rPr>
          <w:rFonts w:ascii="Times New Roman" w:hAnsi="Times New Roman" w:cs="Times New Roman"/>
          <w:sz w:val="24"/>
          <w:szCs w:val="24"/>
        </w:rPr>
      </w:pPr>
      <w:r w:rsidRPr="005B679D">
        <w:rPr>
          <w:rFonts w:ascii="Times New Roman" w:hAnsi="Times New Roman" w:cs="Times New Roman"/>
          <w:b/>
          <w:sz w:val="24"/>
          <w:szCs w:val="24"/>
        </w:rPr>
        <w:t>Teavitatud asutus</w:t>
      </w:r>
      <w:r w:rsidR="009E4273" w:rsidRPr="005B679D">
        <w:rPr>
          <w:rFonts w:ascii="Times New Roman" w:hAnsi="Times New Roman" w:cs="Times New Roman"/>
          <w:b/>
          <w:sz w:val="24"/>
          <w:szCs w:val="24"/>
        </w:rPr>
        <w:t xml:space="preserve"> (</w:t>
      </w:r>
      <w:proofErr w:type="spellStart"/>
      <w:r w:rsidR="009E4273" w:rsidRPr="005B679D">
        <w:rPr>
          <w:rFonts w:ascii="Times New Roman" w:hAnsi="Times New Roman" w:cs="Times New Roman"/>
          <w:b/>
          <w:i/>
          <w:sz w:val="24"/>
          <w:szCs w:val="24"/>
        </w:rPr>
        <w:t>Notified</w:t>
      </w:r>
      <w:proofErr w:type="spellEnd"/>
      <w:r w:rsidR="009E4273" w:rsidRPr="005B679D">
        <w:rPr>
          <w:rFonts w:ascii="Times New Roman" w:hAnsi="Times New Roman" w:cs="Times New Roman"/>
          <w:b/>
          <w:i/>
          <w:sz w:val="24"/>
          <w:szCs w:val="24"/>
        </w:rPr>
        <w:t xml:space="preserve"> </w:t>
      </w:r>
      <w:proofErr w:type="spellStart"/>
      <w:r w:rsidR="009E4273" w:rsidRPr="005B679D">
        <w:rPr>
          <w:rFonts w:ascii="Times New Roman" w:hAnsi="Times New Roman" w:cs="Times New Roman"/>
          <w:b/>
          <w:i/>
          <w:sz w:val="24"/>
          <w:szCs w:val="24"/>
        </w:rPr>
        <w:t>Body</w:t>
      </w:r>
      <w:proofErr w:type="spellEnd"/>
      <w:r w:rsidR="009E4273" w:rsidRPr="005B679D">
        <w:rPr>
          <w:rFonts w:ascii="Times New Roman" w:hAnsi="Times New Roman" w:cs="Times New Roman"/>
          <w:b/>
          <w:sz w:val="24"/>
          <w:szCs w:val="24"/>
        </w:rPr>
        <w:t>)</w:t>
      </w:r>
      <w:r w:rsidR="002A75A5" w:rsidRPr="005B679D">
        <w:rPr>
          <w:rFonts w:ascii="Times New Roman" w:hAnsi="Times New Roman" w:cs="Times New Roman"/>
          <w:b/>
          <w:sz w:val="24"/>
          <w:szCs w:val="24"/>
        </w:rPr>
        <w:t xml:space="preserve"> – </w:t>
      </w:r>
      <w:proofErr w:type="spellStart"/>
      <w:r w:rsidR="002A75A5" w:rsidRPr="005B679D">
        <w:rPr>
          <w:rFonts w:ascii="Times New Roman" w:hAnsi="Times New Roman" w:cs="Times New Roman"/>
          <w:sz w:val="24"/>
          <w:szCs w:val="24"/>
        </w:rPr>
        <w:t>vastavushindamisasutus</w:t>
      </w:r>
      <w:proofErr w:type="spellEnd"/>
      <w:r w:rsidR="002A75A5" w:rsidRPr="005B679D">
        <w:rPr>
          <w:rFonts w:ascii="Times New Roman" w:hAnsi="Times New Roman" w:cs="Times New Roman"/>
          <w:sz w:val="24"/>
          <w:szCs w:val="24"/>
        </w:rPr>
        <w:t xml:space="preserve">, kes viib kolmanda isikuna läbi </w:t>
      </w:r>
      <w:proofErr w:type="spellStart"/>
      <w:r w:rsidR="002A75A5" w:rsidRPr="005B679D">
        <w:rPr>
          <w:rFonts w:ascii="Times New Roman" w:hAnsi="Times New Roman" w:cs="Times New Roman"/>
          <w:sz w:val="24"/>
          <w:szCs w:val="24"/>
        </w:rPr>
        <w:t>vastavushindamistoiminguid</w:t>
      </w:r>
      <w:proofErr w:type="spellEnd"/>
      <w:r w:rsidR="002A75A5" w:rsidRPr="005B679D">
        <w:rPr>
          <w:rFonts w:ascii="Times New Roman" w:hAnsi="Times New Roman" w:cs="Times New Roman"/>
          <w:sz w:val="24"/>
          <w:szCs w:val="24"/>
        </w:rPr>
        <w:t>.</w:t>
      </w:r>
      <w:r w:rsidR="005960A2" w:rsidRPr="005B679D">
        <w:rPr>
          <w:rFonts w:ascii="Times New Roman" w:hAnsi="Times New Roman" w:cs="Times New Roman"/>
          <w:sz w:val="24"/>
          <w:szCs w:val="24"/>
        </w:rPr>
        <w:t xml:space="preserve"> Teavitatud asutused väljastavad ELi vastavussertifikaate. </w:t>
      </w:r>
    </w:p>
    <w:p w14:paraId="1B1D6C86" w14:textId="77777777" w:rsidR="000024CE" w:rsidRPr="005B679D" w:rsidRDefault="000024CE" w:rsidP="000024CE">
      <w:pPr>
        <w:spacing w:after="0"/>
        <w:jc w:val="both"/>
        <w:rPr>
          <w:rFonts w:ascii="Times New Roman" w:hAnsi="Times New Roman" w:cs="Times New Roman"/>
          <w:sz w:val="24"/>
          <w:szCs w:val="24"/>
        </w:rPr>
      </w:pPr>
    </w:p>
    <w:p w14:paraId="1F3DA1C7" w14:textId="477F6D52" w:rsidR="002F5C60" w:rsidRDefault="002F5C60" w:rsidP="000024CE">
      <w:pPr>
        <w:spacing w:after="0"/>
        <w:jc w:val="both"/>
        <w:rPr>
          <w:rFonts w:ascii="Times New Roman" w:hAnsi="Times New Roman" w:cs="Times New Roman"/>
          <w:sz w:val="24"/>
          <w:szCs w:val="24"/>
        </w:rPr>
      </w:pPr>
      <w:r w:rsidRPr="005B679D">
        <w:rPr>
          <w:rFonts w:ascii="Times New Roman" w:hAnsi="Times New Roman" w:cs="Times New Roman"/>
          <w:b/>
          <w:sz w:val="24"/>
          <w:szCs w:val="24"/>
        </w:rPr>
        <w:t>Pädev asutus</w:t>
      </w:r>
      <w:r w:rsidR="000C3A52" w:rsidRPr="005B679D">
        <w:rPr>
          <w:rFonts w:ascii="Times New Roman" w:hAnsi="Times New Roman" w:cs="Times New Roman"/>
          <w:b/>
          <w:sz w:val="24"/>
          <w:szCs w:val="24"/>
        </w:rPr>
        <w:t xml:space="preserve"> (</w:t>
      </w:r>
      <w:proofErr w:type="spellStart"/>
      <w:r w:rsidR="000C3A52" w:rsidRPr="005B679D">
        <w:rPr>
          <w:rFonts w:ascii="Times New Roman" w:hAnsi="Times New Roman" w:cs="Times New Roman"/>
          <w:b/>
          <w:i/>
          <w:iCs/>
          <w:sz w:val="24"/>
          <w:szCs w:val="24"/>
        </w:rPr>
        <w:t>Competent</w:t>
      </w:r>
      <w:proofErr w:type="spellEnd"/>
      <w:r w:rsidR="000C3A52" w:rsidRPr="005B679D">
        <w:rPr>
          <w:rFonts w:ascii="Times New Roman" w:hAnsi="Times New Roman" w:cs="Times New Roman"/>
          <w:b/>
          <w:i/>
          <w:iCs/>
          <w:sz w:val="24"/>
          <w:szCs w:val="24"/>
        </w:rPr>
        <w:t xml:space="preserve"> </w:t>
      </w:r>
      <w:proofErr w:type="spellStart"/>
      <w:r w:rsidR="000C3A52" w:rsidRPr="005B679D">
        <w:rPr>
          <w:rFonts w:ascii="Times New Roman" w:hAnsi="Times New Roman" w:cs="Times New Roman"/>
          <w:b/>
          <w:i/>
          <w:iCs/>
          <w:sz w:val="24"/>
          <w:szCs w:val="24"/>
        </w:rPr>
        <w:t>Authority</w:t>
      </w:r>
      <w:proofErr w:type="spellEnd"/>
      <w:r w:rsidR="000C3A52" w:rsidRPr="005B679D">
        <w:rPr>
          <w:rFonts w:ascii="Times New Roman" w:hAnsi="Times New Roman" w:cs="Times New Roman"/>
          <w:b/>
          <w:sz w:val="24"/>
          <w:szCs w:val="24"/>
        </w:rPr>
        <w:t>)</w:t>
      </w:r>
      <w:r w:rsidRPr="005B679D">
        <w:rPr>
          <w:rFonts w:ascii="Times New Roman" w:hAnsi="Times New Roman" w:cs="Times New Roman"/>
          <w:sz w:val="24"/>
          <w:szCs w:val="24"/>
        </w:rPr>
        <w:t xml:space="preserve"> </w:t>
      </w:r>
      <w:r w:rsidR="002A75A5" w:rsidRPr="005B679D">
        <w:rPr>
          <w:rFonts w:ascii="Times New Roman" w:hAnsi="Times New Roman" w:cs="Times New Roman"/>
          <w:sz w:val="24"/>
          <w:szCs w:val="24"/>
        </w:rPr>
        <w:t>–</w:t>
      </w:r>
      <w:r w:rsidRPr="005B679D">
        <w:rPr>
          <w:rFonts w:ascii="Times New Roman" w:hAnsi="Times New Roman" w:cs="Times New Roman"/>
          <w:sz w:val="24"/>
          <w:szCs w:val="24"/>
        </w:rPr>
        <w:t xml:space="preserve"> </w:t>
      </w:r>
      <w:r w:rsidR="002A75A5" w:rsidRPr="005B679D">
        <w:rPr>
          <w:rFonts w:ascii="Times New Roman" w:hAnsi="Times New Roman" w:cs="Times New Roman"/>
          <w:sz w:val="24"/>
          <w:szCs w:val="24"/>
        </w:rPr>
        <w:t xml:space="preserve">asutus, kes rakendab õigusakte ja tagab nende täitmise, Eestis on selleks meditsiiniseadmete osas </w:t>
      </w:r>
      <w:r w:rsidRPr="005B679D">
        <w:rPr>
          <w:rFonts w:ascii="Times New Roman" w:hAnsi="Times New Roman" w:cs="Times New Roman"/>
          <w:sz w:val="24"/>
          <w:szCs w:val="24"/>
        </w:rPr>
        <w:t>Terviseamet</w:t>
      </w:r>
      <w:r w:rsidR="007B5FE6" w:rsidRPr="005B679D">
        <w:rPr>
          <w:rFonts w:ascii="Times New Roman" w:hAnsi="Times New Roman" w:cs="Times New Roman"/>
          <w:sz w:val="24"/>
          <w:szCs w:val="24"/>
        </w:rPr>
        <w:t>.</w:t>
      </w:r>
    </w:p>
    <w:p w14:paraId="7E91CFA8" w14:textId="77777777" w:rsidR="000024CE" w:rsidRPr="005B679D" w:rsidRDefault="000024CE" w:rsidP="000024CE">
      <w:pPr>
        <w:spacing w:after="0"/>
        <w:jc w:val="both"/>
        <w:rPr>
          <w:rFonts w:ascii="Times New Roman" w:hAnsi="Times New Roman" w:cs="Times New Roman"/>
          <w:sz w:val="24"/>
          <w:szCs w:val="24"/>
        </w:rPr>
      </w:pPr>
    </w:p>
    <w:p w14:paraId="1A741B93" w14:textId="363D0040" w:rsidR="00671C68" w:rsidRDefault="00671C68" w:rsidP="000024CE">
      <w:pPr>
        <w:spacing w:after="0"/>
        <w:jc w:val="both"/>
        <w:rPr>
          <w:rFonts w:ascii="Times New Roman" w:hAnsi="Times New Roman" w:cs="Times New Roman"/>
          <w:sz w:val="24"/>
          <w:szCs w:val="24"/>
        </w:rPr>
      </w:pPr>
      <w:r w:rsidRPr="005B679D">
        <w:rPr>
          <w:rFonts w:ascii="Times New Roman" w:hAnsi="Times New Roman" w:cs="Times New Roman"/>
          <w:b/>
          <w:sz w:val="24"/>
          <w:szCs w:val="24"/>
        </w:rPr>
        <w:t>Tootja</w:t>
      </w:r>
      <w:r w:rsidRPr="005B679D">
        <w:rPr>
          <w:rFonts w:ascii="Times New Roman" w:hAnsi="Times New Roman" w:cs="Times New Roman"/>
          <w:sz w:val="24"/>
          <w:szCs w:val="24"/>
        </w:rPr>
        <w:t xml:space="preserve"> – </w:t>
      </w:r>
      <w:r w:rsidR="000C3A52" w:rsidRPr="005B679D">
        <w:rPr>
          <w:rFonts w:ascii="Times New Roman" w:hAnsi="Times New Roman" w:cs="Times New Roman"/>
          <w:sz w:val="24"/>
          <w:szCs w:val="24"/>
        </w:rPr>
        <w:t xml:space="preserve">valmistab või uuendab täielikult seadme </w:t>
      </w:r>
      <w:r w:rsidR="00DF06B8" w:rsidRPr="005B679D">
        <w:rPr>
          <w:rFonts w:ascii="Times New Roman" w:hAnsi="Times New Roman" w:cs="Times New Roman"/>
          <w:sz w:val="24"/>
          <w:szCs w:val="24"/>
        </w:rPr>
        <w:t>(</w:t>
      </w:r>
      <w:r w:rsidR="000C3A52" w:rsidRPr="005B679D">
        <w:rPr>
          <w:rFonts w:ascii="Times New Roman" w:hAnsi="Times New Roman" w:cs="Times New Roman"/>
          <w:sz w:val="24"/>
          <w:szCs w:val="24"/>
        </w:rPr>
        <w:t>või laseb</w:t>
      </w:r>
      <w:r w:rsidR="00DF06B8" w:rsidRPr="005B679D">
        <w:rPr>
          <w:rFonts w:ascii="Times New Roman" w:hAnsi="Times New Roman" w:cs="Times New Roman"/>
          <w:sz w:val="24"/>
          <w:szCs w:val="24"/>
        </w:rPr>
        <w:t xml:space="preserve"> seda teha) </w:t>
      </w:r>
      <w:r w:rsidR="000C3A52" w:rsidRPr="005B679D">
        <w:rPr>
          <w:rFonts w:ascii="Times New Roman" w:hAnsi="Times New Roman" w:cs="Times New Roman"/>
          <w:sz w:val="24"/>
          <w:szCs w:val="24"/>
        </w:rPr>
        <w:t>ja turustab seda oma nime</w:t>
      </w:r>
      <w:r w:rsidR="00DF06B8" w:rsidRPr="005B679D">
        <w:rPr>
          <w:rFonts w:ascii="Times New Roman" w:hAnsi="Times New Roman" w:cs="Times New Roman"/>
          <w:sz w:val="24"/>
          <w:szCs w:val="24"/>
        </w:rPr>
        <w:t>/</w:t>
      </w:r>
      <w:r w:rsidR="000C3A52" w:rsidRPr="005B679D">
        <w:rPr>
          <w:rFonts w:ascii="Times New Roman" w:hAnsi="Times New Roman" w:cs="Times New Roman"/>
          <w:sz w:val="24"/>
          <w:szCs w:val="24"/>
        </w:rPr>
        <w:t>kaubamärgi all. Meditsiiniseadmete valdkonnas on tootjal ainuvastutus seadme nõuetele vastavuse osas</w:t>
      </w:r>
      <w:r w:rsidR="009306A7" w:rsidRPr="005B679D">
        <w:rPr>
          <w:rFonts w:ascii="Times New Roman" w:hAnsi="Times New Roman" w:cs="Times New Roman"/>
          <w:sz w:val="24"/>
          <w:szCs w:val="24"/>
        </w:rPr>
        <w:t xml:space="preserve"> – keegi teine ei saa tagada seadme nõuetele vastavust. </w:t>
      </w:r>
      <w:r w:rsidR="005960A2" w:rsidRPr="005B679D">
        <w:rPr>
          <w:rFonts w:ascii="Times New Roman" w:hAnsi="Times New Roman" w:cs="Times New Roman"/>
          <w:sz w:val="24"/>
          <w:szCs w:val="24"/>
        </w:rPr>
        <w:t>Tootja koostab seadme kohta vastavusdeklaratsiooni (</w:t>
      </w:r>
      <w:proofErr w:type="spellStart"/>
      <w:r w:rsidR="005960A2" w:rsidRPr="005B679D">
        <w:rPr>
          <w:rFonts w:ascii="Times New Roman" w:hAnsi="Times New Roman" w:cs="Times New Roman"/>
          <w:i/>
          <w:iCs/>
          <w:sz w:val="24"/>
          <w:szCs w:val="24"/>
        </w:rPr>
        <w:t>declaration</w:t>
      </w:r>
      <w:proofErr w:type="spellEnd"/>
      <w:r w:rsidR="005960A2" w:rsidRPr="005B679D">
        <w:rPr>
          <w:rFonts w:ascii="Times New Roman" w:hAnsi="Times New Roman" w:cs="Times New Roman"/>
          <w:i/>
          <w:iCs/>
          <w:sz w:val="24"/>
          <w:szCs w:val="24"/>
        </w:rPr>
        <w:t xml:space="preserve"> of </w:t>
      </w:r>
      <w:proofErr w:type="spellStart"/>
      <w:r w:rsidR="005960A2" w:rsidRPr="005B679D">
        <w:rPr>
          <w:rFonts w:ascii="Times New Roman" w:hAnsi="Times New Roman" w:cs="Times New Roman"/>
          <w:i/>
          <w:iCs/>
          <w:sz w:val="24"/>
          <w:szCs w:val="24"/>
        </w:rPr>
        <w:t>conformity</w:t>
      </w:r>
      <w:proofErr w:type="spellEnd"/>
      <w:r w:rsidR="005960A2" w:rsidRPr="005B679D">
        <w:rPr>
          <w:rFonts w:ascii="Times New Roman" w:hAnsi="Times New Roman" w:cs="Times New Roman"/>
          <w:sz w:val="24"/>
          <w:szCs w:val="24"/>
        </w:rPr>
        <w:t xml:space="preserve">), millega kinnitab seadme vastavust kohalduvatele nõuetele. </w:t>
      </w:r>
    </w:p>
    <w:p w14:paraId="5D3F616D" w14:textId="77777777" w:rsidR="000024CE" w:rsidRPr="005B679D" w:rsidRDefault="000024CE" w:rsidP="000024CE">
      <w:pPr>
        <w:spacing w:after="0"/>
        <w:jc w:val="both"/>
        <w:rPr>
          <w:rFonts w:ascii="Times New Roman" w:hAnsi="Times New Roman" w:cs="Times New Roman"/>
          <w:sz w:val="24"/>
          <w:szCs w:val="24"/>
        </w:rPr>
      </w:pPr>
    </w:p>
    <w:p w14:paraId="7352866E" w14:textId="7AD934BD" w:rsidR="00671C68" w:rsidRDefault="00671C68" w:rsidP="000024CE">
      <w:pPr>
        <w:spacing w:after="0"/>
        <w:jc w:val="both"/>
        <w:rPr>
          <w:rFonts w:ascii="Times New Roman" w:hAnsi="Times New Roman" w:cs="Times New Roman"/>
          <w:sz w:val="24"/>
          <w:szCs w:val="24"/>
        </w:rPr>
      </w:pPr>
      <w:r w:rsidRPr="005B679D">
        <w:rPr>
          <w:rFonts w:ascii="Times New Roman" w:hAnsi="Times New Roman" w:cs="Times New Roman"/>
          <w:b/>
          <w:sz w:val="24"/>
          <w:szCs w:val="24"/>
        </w:rPr>
        <w:t>Levitaja</w:t>
      </w:r>
      <w:r w:rsidRPr="005B679D">
        <w:rPr>
          <w:rFonts w:ascii="Times New Roman" w:hAnsi="Times New Roman" w:cs="Times New Roman"/>
          <w:sz w:val="24"/>
          <w:szCs w:val="24"/>
        </w:rPr>
        <w:t xml:space="preserve"> – </w:t>
      </w:r>
      <w:r w:rsidR="00DF06B8" w:rsidRPr="005B679D">
        <w:rPr>
          <w:rFonts w:ascii="Times New Roman" w:hAnsi="Times New Roman" w:cs="Times New Roman"/>
          <w:sz w:val="24"/>
          <w:szCs w:val="24"/>
        </w:rPr>
        <w:t>ettevõtja</w:t>
      </w:r>
      <w:r w:rsidR="000C3A52" w:rsidRPr="005B679D">
        <w:rPr>
          <w:rFonts w:ascii="Times New Roman" w:hAnsi="Times New Roman" w:cs="Times New Roman"/>
          <w:sz w:val="24"/>
          <w:szCs w:val="24"/>
        </w:rPr>
        <w:t>, välja arvatud tootja või importija, kes teeb seadme turul kättesaadavaks kuni kasutuselevõtu kohani.</w:t>
      </w:r>
      <w:r w:rsidR="002E1CD6" w:rsidRPr="005B679D">
        <w:rPr>
          <w:rFonts w:ascii="Times New Roman" w:hAnsi="Times New Roman" w:cs="Times New Roman"/>
          <w:sz w:val="24"/>
          <w:szCs w:val="24"/>
        </w:rPr>
        <w:t xml:space="preserve"> </w:t>
      </w:r>
      <w:r w:rsidR="000C3A52" w:rsidRPr="005B679D">
        <w:rPr>
          <w:rFonts w:ascii="Times New Roman" w:hAnsi="Times New Roman" w:cs="Times New Roman"/>
          <w:sz w:val="24"/>
          <w:szCs w:val="24"/>
        </w:rPr>
        <w:t xml:space="preserve">Eestis levinud </w:t>
      </w:r>
      <w:r w:rsidR="00DF06B8" w:rsidRPr="005B679D">
        <w:rPr>
          <w:rFonts w:ascii="Times New Roman" w:hAnsi="Times New Roman" w:cs="Times New Roman"/>
          <w:sz w:val="24"/>
          <w:szCs w:val="24"/>
        </w:rPr>
        <w:t>„</w:t>
      </w:r>
      <w:r w:rsidR="000C3A52" w:rsidRPr="005B679D">
        <w:rPr>
          <w:rFonts w:ascii="Times New Roman" w:hAnsi="Times New Roman" w:cs="Times New Roman"/>
          <w:sz w:val="24"/>
          <w:szCs w:val="24"/>
        </w:rPr>
        <w:t>edasimüüja</w:t>
      </w:r>
      <w:r w:rsidR="00DF06B8" w:rsidRPr="005B679D">
        <w:rPr>
          <w:rFonts w:ascii="Times New Roman" w:hAnsi="Times New Roman" w:cs="Times New Roman"/>
          <w:sz w:val="24"/>
          <w:szCs w:val="24"/>
        </w:rPr>
        <w:t>“</w:t>
      </w:r>
      <w:r w:rsidR="000C3A52" w:rsidRPr="005B679D">
        <w:rPr>
          <w:rFonts w:ascii="Times New Roman" w:hAnsi="Times New Roman" w:cs="Times New Roman"/>
          <w:sz w:val="24"/>
          <w:szCs w:val="24"/>
        </w:rPr>
        <w:t xml:space="preserve"> </w:t>
      </w:r>
      <w:r w:rsidR="002E1CD6" w:rsidRPr="005B679D">
        <w:rPr>
          <w:rFonts w:ascii="Times New Roman" w:hAnsi="Times New Roman" w:cs="Times New Roman"/>
          <w:sz w:val="24"/>
          <w:szCs w:val="24"/>
        </w:rPr>
        <w:t xml:space="preserve">rolli meditsiiniseadmete valdkonnas </w:t>
      </w:r>
      <w:r w:rsidR="000C3A52" w:rsidRPr="005B679D">
        <w:rPr>
          <w:rFonts w:ascii="Times New Roman" w:hAnsi="Times New Roman" w:cs="Times New Roman"/>
          <w:sz w:val="24"/>
          <w:szCs w:val="24"/>
        </w:rPr>
        <w:t xml:space="preserve">ei ole – pigem on ka nende puhul tegemist levitajaga. </w:t>
      </w:r>
      <w:r w:rsidR="009306A7" w:rsidRPr="005B679D">
        <w:rPr>
          <w:rFonts w:ascii="Times New Roman" w:hAnsi="Times New Roman" w:cs="Times New Roman"/>
          <w:sz w:val="24"/>
          <w:szCs w:val="24"/>
        </w:rPr>
        <w:t>Levitaja saab piiratud ulatuses veenduda, et tootja on nõuded täitnud – näiteks hinnates seadme märgistust ning kaasas olevaid dokumente.</w:t>
      </w:r>
      <w:r w:rsidR="00B134AC" w:rsidRPr="005B679D">
        <w:rPr>
          <w:rFonts w:ascii="Times New Roman" w:hAnsi="Times New Roman" w:cs="Times New Roman"/>
          <w:sz w:val="24"/>
          <w:szCs w:val="24"/>
        </w:rPr>
        <w:t xml:space="preserve"> Levitaja peab pidama ka kaebuste registrit ning tagama teabe liikumise tootjani</w:t>
      </w:r>
      <w:r w:rsidR="005B6A12" w:rsidRPr="005B679D">
        <w:rPr>
          <w:rFonts w:ascii="Times New Roman" w:hAnsi="Times New Roman" w:cs="Times New Roman"/>
          <w:sz w:val="24"/>
          <w:szCs w:val="24"/>
        </w:rPr>
        <w:t xml:space="preserve"> (IVDR artikkel 14)</w:t>
      </w:r>
      <w:r w:rsidR="00B134AC" w:rsidRPr="005B679D">
        <w:rPr>
          <w:rFonts w:ascii="Times New Roman" w:hAnsi="Times New Roman" w:cs="Times New Roman"/>
          <w:sz w:val="24"/>
          <w:szCs w:val="24"/>
        </w:rPr>
        <w:t>.</w:t>
      </w:r>
    </w:p>
    <w:p w14:paraId="79C92CBE" w14:textId="77777777" w:rsidR="000024CE" w:rsidRPr="005B679D" w:rsidRDefault="000024CE" w:rsidP="000024CE">
      <w:pPr>
        <w:spacing w:after="0"/>
        <w:jc w:val="both"/>
        <w:rPr>
          <w:rFonts w:ascii="Times New Roman" w:hAnsi="Times New Roman" w:cs="Times New Roman"/>
          <w:sz w:val="24"/>
          <w:szCs w:val="24"/>
        </w:rPr>
      </w:pPr>
    </w:p>
    <w:p w14:paraId="3FFC145C" w14:textId="19D02D61" w:rsidR="00671C68" w:rsidRDefault="00671C68" w:rsidP="000024CE">
      <w:pPr>
        <w:spacing w:after="0"/>
        <w:jc w:val="both"/>
        <w:rPr>
          <w:rFonts w:ascii="Times New Roman" w:hAnsi="Times New Roman" w:cs="Times New Roman"/>
          <w:sz w:val="24"/>
          <w:szCs w:val="24"/>
        </w:rPr>
      </w:pPr>
      <w:r w:rsidRPr="005B679D">
        <w:rPr>
          <w:rFonts w:ascii="Times New Roman" w:hAnsi="Times New Roman" w:cs="Times New Roman"/>
          <w:b/>
          <w:sz w:val="24"/>
          <w:szCs w:val="24"/>
        </w:rPr>
        <w:t>Importija</w:t>
      </w:r>
      <w:r w:rsidRPr="005B679D">
        <w:rPr>
          <w:rFonts w:ascii="Times New Roman" w:hAnsi="Times New Roman" w:cs="Times New Roman"/>
          <w:sz w:val="24"/>
          <w:szCs w:val="24"/>
        </w:rPr>
        <w:t xml:space="preserve"> – kui tootja asub väljaspool </w:t>
      </w:r>
      <w:proofErr w:type="spellStart"/>
      <w:r w:rsidRPr="005B679D">
        <w:rPr>
          <w:rFonts w:ascii="Times New Roman" w:hAnsi="Times New Roman" w:cs="Times New Roman"/>
          <w:sz w:val="24"/>
          <w:szCs w:val="24"/>
        </w:rPr>
        <w:t>EU-d</w:t>
      </w:r>
      <w:proofErr w:type="spellEnd"/>
      <w:r w:rsidRPr="005B679D">
        <w:rPr>
          <w:rFonts w:ascii="Times New Roman" w:hAnsi="Times New Roman" w:cs="Times New Roman"/>
          <w:sz w:val="24"/>
          <w:szCs w:val="24"/>
        </w:rPr>
        <w:t xml:space="preserve">, siis peab tal </w:t>
      </w:r>
      <w:proofErr w:type="spellStart"/>
      <w:r w:rsidRPr="005B679D">
        <w:rPr>
          <w:rFonts w:ascii="Times New Roman" w:hAnsi="Times New Roman" w:cs="Times New Roman"/>
          <w:sz w:val="24"/>
          <w:szCs w:val="24"/>
        </w:rPr>
        <w:t>EU-s</w:t>
      </w:r>
      <w:proofErr w:type="spellEnd"/>
      <w:r w:rsidRPr="005B679D">
        <w:rPr>
          <w:rFonts w:ascii="Times New Roman" w:hAnsi="Times New Roman" w:cs="Times New Roman"/>
          <w:sz w:val="24"/>
          <w:szCs w:val="24"/>
        </w:rPr>
        <w:t xml:space="preserve"> olema importija. Importija ja levitaja võivad vajadusel olla üks ja sama ettevõte aga võivad olla ka eraldi ettevõtted.</w:t>
      </w:r>
      <w:r w:rsidR="006B7AB9" w:rsidRPr="005B679D">
        <w:rPr>
          <w:rFonts w:ascii="Times New Roman" w:hAnsi="Times New Roman" w:cs="Times New Roman"/>
          <w:sz w:val="24"/>
          <w:szCs w:val="24"/>
        </w:rPr>
        <w:t xml:space="preserve"> Importijast võib lihtsustatult mõelda kui seadme esimesest levitajast </w:t>
      </w:r>
      <w:proofErr w:type="spellStart"/>
      <w:r w:rsidR="006B7AB9" w:rsidRPr="005B679D">
        <w:rPr>
          <w:rFonts w:ascii="Times New Roman" w:hAnsi="Times New Roman" w:cs="Times New Roman"/>
          <w:sz w:val="24"/>
          <w:szCs w:val="24"/>
        </w:rPr>
        <w:t>EU-s</w:t>
      </w:r>
      <w:proofErr w:type="spellEnd"/>
      <w:r w:rsidR="005B6A12" w:rsidRPr="005B679D">
        <w:rPr>
          <w:rFonts w:ascii="Times New Roman" w:hAnsi="Times New Roman" w:cs="Times New Roman"/>
          <w:sz w:val="24"/>
          <w:szCs w:val="24"/>
        </w:rPr>
        <w:t xml:space="preserve"> (IVDR artikkel 13)</w:t>
      </w:r>
      <w:r w:rsidR="006B7AB9" w:rsidRPr="005B679D">
        <w:rPr>
          <w:rFonts w:ascii="Times New Roman" w:hAnsi="Times New Roman" w:cs="Times New Roman"/>
          <w:sz w:val="24"/>
          <w:szCs w:val="24"/>
        </w:rPr>
        <w:t xml:space="preserve">. </w:t>
      </w:r>
    </w:p>
    <w:p w14:paraId="6269AF90" w14:textId="77777777" w:rsidR="0081466E" w:rsidRPr="005B679D" w:rsidRDefault="0081466E" w:rsidP="000024CE">
      <w:pPr>
        <w:spacing w:after="0"/>
        <w:jc w:val="both"/>
        <w:rPr>
          <w:rFonts w:ascii="Times New Roman" w:hAnsi="Times New Roman" w:cs="Times New Roman"/>
          <w:b/>
          <w:sz w:val="24"/>
          <w:szCs w:val="24"/>
        </w:rPr>
      </w:pPr>
    </w:p>
    <w:p w14:paraId="44A5E490" w14:textId="355D42D6" w:rsidR="00DE1B5B" w:rsidRDefault="000C3A52" w:rsidP="000024CE">
      <w:pPr>
        <w:spacing w:after="0"/>
        <w:jc w:val="both"/>
        <w:rPr>
          <w:rStyle w:val="ui-provider"/>
          <w:rFonts w:ascii="Times New Roman" w:hAnsi="Times New Roman" w:cs="Times New Roman"/>
          <w:sz w:val="24"/>
          <w:szCs w:val="24"/>
        </w:rPr>
      </w:pPr>
      <w:r w:rsidRPr="005B679D">
        <w:rPr>
          <w:rFonts w:ascii="Times New Roman" w:hAnsi="Times New Roman" w:cs="Times New Roman"/>
          <w:b/>
          <w:bCs/>
          <w:sz w:val="24"/>
          <w:szCs w:val="24"/>
        </w:rPr>
        <w:lastRenderedPageBreak/>
        <w:t>Turule laskmine</w:t>
      </w:r>
      <w:r w:rsidR="000618C3" w:rsidRPr="005B679D">
        <w:rPr>
          <w:rFonts w:ascii="Times New Roman" w:hAnsi="Times New Roman" w:cs="Times New Roman"/>
          <w:b/>
          <w:bCs/>
          <w:sz w:val="24"/>
          <w:szCs w:val="24"/>
        </w:rPr>
        <w:t xml:space="preserve"> (</w:t>
      </w:r>
      <w:proofErr w:type="spellStart"/>
      <w:r w:rsidR="000618C3" w:rsidRPr="005B679D">
        <w:rPr>
          <w:rFonts w:ascii="Times New Roman" w:hAnsi="Times New Roman" w:cs="Times New Roman"/>
          <w:b/>
          <w:bCs/>
          <w:i/>
          <w:iCs/>
          <w:sz w:val="24"/>
          <w:szCs w:val="24"/>
        </w:rPr>
        <w:t>placing</w:t>
      </w:r>
      <w:proofErr w:type="spellEnd"/>
      <w:r w:rsidR="000618C3" w:rsidRPr="005B679D">
        <w:rPr>
          <w:rFonts w:ascii="Times New Roman" w:hAnsi="Times New Roman" w:cs="Times New Roman"/>
          <w:b/>
          <w:bCs/>
          <w:i/>
          <w:iCs/>
          <w:sz w:val="24"/>
          <w:szCs w:val="24"/>
        </w:rPr>
        <w:t xml:space="preserve"> on </w:t>
      </w:r>
      <w:proofErr w:type="spellStart"/>
      <w:r w:rsidR="000618C3" w:rsidRPr="005B679D">
        <w:rPr>
          <w:rFonts w:ascii="Times New Roman" w:hAnsi="Times New Roman" w:cs="Times New Roman"/>
          <w:b/>
          <w:bCs/>
          <w:i/>
          <w:iCs/>
          <w:sz w:val="24"/>
          <w:szCs w:val="24"/>
        </w:rPr>
        <w:t>the</w:t>
      </w:r>
      <w:proofErr w:type="spellEnd"/>
      <w:r w:rsidR="000618C3" w:rsidRPr="005B679D">
        <w:rPr>
          <w:rFonts w:ascii="Times New Roman" w:hAnsi="Times New Roman" w:cs="Times New Roman"/>
          <w:b/>
          <w:bCs/>
          <w:i/>
          <w:iCs/>
          <w:sz w:val="24"/>
          <w:szCs w:val="24"/>
        </w:rPr>
        <w:t xml:space="preserve"> market</w:t>
      </w:r>
      <w:r w:rsidR="000618C3" w:rsidRPr="005B679D">
        <w:rPr>
          <w:rFonts w:ascii="Times New Roman" w:hAnsi="Times New Roman" w:cs="Times New Roman"/>
          <w:b/>
          <w:bCs/>
          <w:sz w:val="24"/>
          <w:szCs w:val="24"/>
        </w:rPr>
        <w:t>)</w:t>
      </w:r>
      <w:r w:rsidRPr="005B679D">
        <w:rPr>
          <w:rFonts w:ascii="Times New Roman" w:hAnsi="Times New Roman" w:cs="Times New Roman"/>
          <w:sz w:val="24"/>
          <w:szCs w:val="24"/>
        </w:rPr>
        <w:t xml:space="preserve"> – seadme </w:t>
      </w:r>
      <w:r w:rsidRPr="005B679D">
        <w:rPr>
          <w:rFonts w:ascii="Times New Roman" w:hAnsi="Times New Roman" w:cs="Times New Roman"/>
          <w:sz w:val="24"/>
          <w:szCs w:val="24"/>
          <w:u w:val="single"/>
        </w:rPr>
        <w:t>esmakordne liidu turul kättesaadavaks</w:t>
      </w:r>
      <w:r w:rsidR="00DE1B5B" w:rsidRPr="005B679D">
        <w:rPr>
          <w:rFonts w:ascii="Times New Roman" w:hAnsi="Times New Roman" w:cs="Times New Roman"/>
          <w:sz w:val="24"/>
          <w:szCs w:val="24"/>
        </w:rPr>
        <w:t xml:space="preserve"> tegemine.</w:t>
      </w:r>
      <w:r w:rsidRPr="005B679D">
        <w:rPr>
          <w:rFonts w:ascii="Times New Roman" w:hAnsi="Times New Roman" w:cs="Times New Roman"/>
          <w:sz w:val="24"/>
          <w:szCs w:val="24"/>
        </w:rPr>
        <w:t xml:space="preserve"> Seadme turule laskmise hetk </w:t>
      </w:r>
      <w:r w:rsidR="00DF06B8" w:rsidRPr="005B679D">
        <w:rPr>
          <w:rFonts w:ascii="Times New Roman" w:hAnsi="Times New Roman" w:cs="Times New Roman"/>
          <w:sz w:val="24"/>
          <w:szCs w:val="24"/>
        </w:rPr>
        <w:t xml:space="preserve">ehk hetk, mil seade tootja käest turule liigub, </w:t>
      </w:r>
      <w:r w:rsidRPr="005B679D">
        <w:rPr>
          <w:rFonts w:ascii="Times New Roman" w:hAnsi="Times New Roman" w:cs="Times New Roman"/>
          <w:sz w:val="24"/>
          <w:szCs w:val="24"/>
        </w:rPr>
        <w:t xml:space="preserve">on </w:t>
      </w:r>
      <w:r w:rsidR="00DF06B8" w:rsidRPr="005B679D">
        <w:rPr>
          <w:rFonts w:ascii="Times New Roman" w:hAnsi="Times New Roman" w:cs="Times New Roman"/>
          <w:sz w:val="24"/>
          <w:szCs w:val="24"/>
        </w:rPr>
        <w:t xml:space="preserve">äärmiselt </w:t>
      </w:r>
      <w:r w:rsidRPr="005B679D">
        <w:rPr>
          <w:rFonts w:ascii="Times New Roman" w:hAnsi="Times New Roman" w:cs="Times New Roman"/>
          <w:sz w:val="24"/>
          <w:szCs w:val="24"/>
        </w:rPr>
        <w:t xml:space="preserve">olulise tähtsusega, kuna seade peab vastama </w:t>
      </w:r>
      <w:r w:rsidR="002E1CD6" w:rsidRPr="005B679D">
        <w:rPr>
          <w:rFonts w:ascii="Times New Roman" w:hAnsi="Times New Roman" w:cs="Times New Roman"/>
          <w:sz w:val="24"/>
          <w:szCs w:val="24"/>
        </w:rPr>
        <w:t xml:space="preserve">just </w:t>
      </w:r>
      <w:r w:rsidRPr="005B679D">
        <w:rPr>
          <w:rFonts w:ascii="Times New Roman" w:hAnsi="Times New Roman" w:cs="Times New Roman"/>
          <w:sz w:val="24"/>
          <w:szCs w:val="24"/>
        </w:rPr>
        <w:t>nendele nõuetele, mis kehtivad selle turule laskmise hetkel (või</w:t>
      </w:r>
      <w:r w:rsidR="00BC4DFA" w:rsidRPr="005B679D">
        <w:rPr>
          <w:rFonts w:ascii="Times New Roman" w:hAnsi="Times New Roman" w:cs="Times New Roman"/>
          <w:sz w:val="24"/>
          <w:szCs w:val="24"/>
        </w:rPr>
        <w:t xml:space="preserve"> </w:t>
      </w:r>
      <w:r w:rsidRPr="005B679D">
        <w:rPr>
          <w:rFonts w:ascii="Times New Roman" w:hAnsi="Times New Roman" w:cs="Times New Roman"/>
          <w:sz w:val="24"/>
          <w:szCs w:val="24"/>
        </w:rPr>
        <w:t xml:space="preserve">mahtuma </w:t>
      </w:r>
      <w:r w:rsidR="00BC4DFA" w:rsidRPr="005B679D">
        <w:rPr>
          <w:rFonts w:ascii="Times New Roman" w:hAnsi="Times New Roman" w:cs="Times New Roman"/>
          <w:sz w:val="24"/>
          <w:szCs w:val="24"/>
        </w:rPr>
        <w:t xml:space="preserve">kehtivate </w:t>
      </w:r>
      <w:r w:rsidRPr="005B679D">
        <w:rPr>
          <w:rFonts w:ascii="Times New Roman" w:hAnsi="Times New Roman" w:cs="Times New Roman"/>
          <w:sz w:val="24"/>
          <w:szCs w:val="24"/>
        </w:rPr>
        <w:t xml:space="preserve">üleminekusätete alla). </w:t>
      </w:r>
      <w:r w:rsidR="00DE1B5B" w:rsidRPr="005B679D">
        <w:rPr>
          <w:rFonts w:ascii="Times New Roman" w:hAnsi="Times New Roman" w:cs="Times New Roman"/>
          <w:sz w:val="24"/>
          <w:szCs w:val="24"/>
        </w:rPr>
        <w:t>Isegi juhul,</w:t>
      </w:r>
      <w:r w:rsidR="00DE1B5B" w:rsidRPr="005B679D">
        <w:rPr>
          <w:rStyle w:val="ui-provider"/>
          <w:rFonts w:ascii="Times New Roman" w:hAnsi="Times New Roman" w:cs="Times New Roman"/>
          <w:sz w:val="24"/>
          <w:szCs w:val="24"/>
        </w:rPr>
        <w:t xml:space="preserve"> kui teatud tootemudelit või -tüüpi on tarnitud juba enne, kui jõustub uus liidu ühtlustamisõigusakt, millega kehtestatakse uued kohustuslikud nõuded, peavad samast mudelist või tüübist üksiktooted, mis lastakse turule pärast uute nõuete kehtima hakkamist, nendele nõuetele vastama.</w:t>
      </w:r>
    </w:p>
    <w:p w14:paraId="55D9CEF4" w14:textId="77777777" w:rsidR="000024CE" w:rsidRPr="005B679D" w:rsidRDefault="000024CE" w:rsidP="000024CE">
      <w:pPr>
        <w:spacing w:after="0"/>
        <w:jc w:val="both"/>
        <w:rPr>
          <w:rFonts w:ascii="Times New Roman" w:hAnsi="Times New Roman" w:cs="Times New Roman"/>
          <w:sz w:val="24"/>
          <w:szCs w:val="24"/>
        </w:rPr>
      </w:pPr>
    </w:p>
    <w:p w14:paraId="2B3E4BAB" w14:textId="167394D3" w:rsidR="00F85A52" w:rsidRDefault="002F5C60" w:rsidP="000024CE">
      <w:pPr>
        <w:spacing w:after="0"/>
        <w:jc w:val="both"/>
        <w:rPr>
          <w:rFonts w:ascii="Times New Roman" w:hAnsi="Times New Roman" w:cs="Times New Roman"/>
          <w:sz w:val="24"/>
          <w:szCs w:val="24"/>
        </w:rPr>
      </w:pPr>
      <w:r w:rsidRPr="005B679D">
        <w:rPr>
          <w:rFonts w:ascii="Times New Roman" w:hAnsi="Times New Roman" w:cs="Times New Roman"/>
          <w:b/>
          <w:bCs/>
          <w:sz w:val="24"/>
          <w:szCs w:val="24"/>
        </w:rPr>
        <w:t>Turul kättesaadavaks tegemine</w:t>
      </w:r>
      <w:r w:rsidR="000618C3" w:rsidRPr="005B679D">
        <w:rPr>
          <w:rFonts w:ascii="Times New Roman" w:hAnsi="Times New Roman" w:cs="Times New Roman"/>
          <w:b/>
          <w:bCs/>
          <w:sz w:val="24"/>
          <w:szCs w:val="24"/>
        </w:rPr>
        <w:t xml:space="preserve"> (</w:t>
      </w:r>
      <w:proofErr w:type="spellStart"/>
      <w:r w:rsidR="000618C3" w:rsidRPr="005B679D">
        <w:rPr>
          <w:rFonts w:ascii="Times New Roman" w:hAnsi="Times New Roman" w:cs="Times New Roman"/>
          <w:b/>
          <w:bCs/>
          <w:i/>
          <w:iCs/>
          <w:sz w:val="24"/>
          <w:szCs w:val="24"/>
        </w:rPr>
        <w:t>making</w:t>
      </w:r>
      <w:proofErr w:type="spellEnd"/>
      <w:r w:rsidR="000618C3" w:rsidRPr="005B679D">
        <w:rPr>
          <w:rFonts w:ascii="Times New Roman" w:hAnsi="Times New Roman" w:cs="Times New Roman"/>
          <w:b/>
          <w:bCs/>
          <w:i/>
          <w:iCs/>
          <w:sz w:val="24"/>
          <w:szCs w:val="24"/>
        </w:rPr>
        <w:t xml:space="preserve"> </w:t>
      </w:r>
      <w:proofErr w:type="spellStart"/>
      <w:r w:rsidR="000618C3" w:rsidRPr="005B679D">
        <w:rPr>
          <w:rFonts w:ascii="Times New Roman" w:hAnsi="Times New Roman" w:cs="Times New Roman"/>
          <w:b/>
          <w:bCs/>
          <w:i/>
          <w:iCs/>
          <w:sz w:val="24"/>
          <w:szCs w:val="24"/>
        </w:rPr>
        <w:t>available</w:t>
      </w:r>
      <w:proofErr w:type="spellEnd"/>
      <w:r w:rsidR="000618C3" w:rsidRPr="005B679D">
        <w:rPr>
          <w:rFonts w:ascii="Times New Roman" w:hAnsi="Times New Roman" w:cs="Times New Roman"/>
          <w:b/>
          <w:bCs/>
          <w:i/>
          <w:iCs/>
          <w:sz w:val="24"/>
          <w:szCs w:val="24"/>
        </w:rPr>
        <w:t xml:space="preserve"> on </w:t>
      </w:r>
      <w:proofErr w:type="spellStart"/>
      <w:r w:rsidR="000618C3" w:rsidRPr="005B679D">
        <w:rPr>
          <w:rFonts w:ascii="Times New Roman" w:hAnsi="Times New Roman" w:cs="Times New Roman"/>
          <w:b/>
          <w:bCs/>
          <w:i/>
          <w:iCs/>
          <w:sz w:val="24"/>
          <w:szCs w:val="24"/>
        </w:rPr>
        <w:t>the</w:t>
      </w:r>
      <w:proofErr w:type="spellEnd"/>
      <w:r w:rsidR="000618C3" w:rsidRPr="005B679D">
        <w:rPr>
          <w:rFonts w:ascii="Times New Roman" w:hAnsi="Times New Roman" w:cs="Times New Roman"/>
          <w:b/>
          <w:bCs/>
          <w:i/>
          <w:iCs/>
          <w:sz w:val="24"/>
          <w:szCs w:val="24"/>
        </w:rPr>
        <w:t xml:space="preserve"> market</w:t>
      </w:r>
      <w:r w:rsidR="000618C3" w:rsidRPr="005B679D">
        <w:rPr>
          <w:rFonts w:ascii="Times New Roman" w:hAnsi="Times New Roman" w:cs="Times New Roman"/>
          <w:b/>
          <w:bCs/>
          <w:sz w:val="24"/>
          <w:szCs w:val="24"/>
        </w:rPr>
        <w:t>)</w:t>
      </w:r>
      <w:r w:rsidRPr="005B679D">
        <w:rPr>
          <w:rFonts w:ascii="Times New Roman" w:hAnsi="Times New Roman" w:cs="Times New Roman"/>
          <w:sz w:val="24"/>
          <w:szCs w:val="24"/>
        </w:rPr>
        <w:t xml:space="preserve"> – seadme tarnimine liidu turule kaubandustegevuse käigus selle levitamiseks, tarbimiseks või kasutamiseks, kas tasu eest või tasuta.</w:t>
      </w:r>
      <w:r w:rsidR="00DE220F" w:rsidRPr="005B679D">
        <w:rPr>
          <w:rFonts w:ascii="Times New Roman" w:hAnsi="Times New Roman" w:cs="Times New Roman"/>
          <w:sz w:val="24"/>
          <w:szCs w:val="24"/>
        </w:rPr>
        <w:t xml:space="preserve"> </w:t>
      </w:r>
    </w:p>
    <w:p w14:paraId="6B2123EA" w14:textId="77777777" w:rsidR="000024CE" w:rsidRPr="005B679D" w:rsidRDefault="000024CE" w:rsidP="000024CE">
      <w:pPr>
        <w:spacing w:after="0"/>
        <w:jc w:val="both"/>
        <w:rPr>
          <w:rFonts w:ascii="Times New Roman" w:hAnsi="Times New Roman" w:cs="Times New Roman"/>
          <w:sz w:val="24"/>
          <w:szCs w:val="24"/>
        </w:rPr>
      </w:pPr>
    </w:p>
    <w:p w14:paraId="0FE9B36B" w14:textId="2AEB544A" w:rsidR="00305FAE" w:rsidRDefault="00671C68" w:rsidP="000024CE">
      <w:pPr>
        <w:spacing w:after="0"/>
        <w:jc w:val="both"/>
        <w:rPr>
          <w:rFonts w:ascii="Times New Roman" w:hAnsi="Times New Roman" w:cs="Times New Roman"/>
          <w:sz w:val="24"/>
          <w:szCs w:val="24"/>
        </w:rPr>
      </w:pPr>
      <w:r w:rsidRPr="005B679D">
        <w:rPr>
          <w:rFonts w:ascii="Times New Roman" w:hAnsi="Times New Roman" w:cs="Times New Roman"/>
          <w:b/>
          <w:bCs/>
          <w:sz w:val="24"/>
          <w:szCs w:val="24"/>
        </w:rPr>
        <w:t>Kasutuselevõtt</w:t>
      </w:r>
      <w:r w:rsidR="000618C3" w:rsidRPr="005B679D">
        <w:rPr>
          <w:rFonts w:ascii="Times New Roman" w:hAnsi="Times New Roman" w:cs="Times New Roman"/>
          <w:b/>
          <w:bCs/>
          <w:sz w:val="24"/>
          <w:szCs w:val="24"/>
        </w:rPr>
        <w:t xml:space="preserve"> (</w:t>
      </w:r>
      <w:proofErr w:type="spellStart"/>
      <w:r w:rsidR="000618C3" w:rsidRPr="005B679D">
        <w:rPr>
          <w:rFonts w:ascii="Times New Roman" w:hAnsi="Times New Roman" w:cs="Times New Roman"/>
          <w:b/>
          <w:bCs/>
          <w:i/>
          <w:iCs/>
          <w:sz w:val="24"/>
          <w:szCs w:val="24"/>
        </w:rPr>
        <w:t>putting</w:t>
      </w:r>
      <w:proofErr w:type="spellEnd"/>
      <w:r w:rsidR="000618C3" w:rsidRPr="005B679D">
        <w:rPr>
          <w:rFonts w:ascii="Times New Roman" w:hAnsi="Times New Roman" w:cs="Times New Roman"/>
          <w:b/>
          <w:bCs/>
          <w:i/>
          <w:iCs/>
          <w:sz w:val="24"/>
          <w:szCs w:val="24"/>
        </w:rPr>
        <w:t xml:space="preserve"> </w:t>
      </w:r>
      <w:proofErr w:type="spellStart"/>
      <w:r w:rsidR="000618C3" w:rsidRPr="005B679D">
        <w:rPr>
          <w:rFonts w:ascii="Times New Roman" w:hAnsi="Times New Roman" w:cs="Times New Roman"/>
          <w:b/>
          <w:bCs/>
          <w:i/>
          <w:iCs/>
          <w:sz w:val="24"/>
          <w:szCs w:val="24"/>
        </w:rPr>
        <w:t>into</w:t>
      </w:r>
      <w:proofErr w:type="spellEnd"/>
      <w:r w:rsidR="000618C3" w:rsidRPr="005B679D">
        <w:rPr>
          <w:rFonts w:ascii="Times New Roman" w:hAnsi="Times New Roman" w:cs="Times New Roman"/>
          <w:b/>
          <w:bCs/>
          <w:i/>
          <w:iCs/>
          <w:sz w:val="24"/>
          <w:szCs w:val="24"/>
        </w:rPr>
        <w:t xml:space="preserve"> </w:t>
      </w:r>
      <w:proofErr w:type="spellStart"/>
      <w:r w:rsidR="000618C3" w:rsidRPr="005B679D">
        <w:rPr>
          <w:rFonts w:ascii="Times New Roman" w:hAnsi="Times New Roman" w:cs="Times New Roman"/>
          <w:b/>
          <w:bCs/>
          <w:i/>
          <w:iCs/>
          <w:sz w:val="24"/>
          <w:szCs w:val="24"/>
        </w:rPr>
        <w:t>service</w:t>
      </w:r>
      <w:proofErr w:type="spellEnd"/>
      <w:r w:rsidR="000618C3" w:rsidRPr="005B679D">
        <w:rPr>
          <w:rFonts w:ascii="Times New Roman" w:hAnsi="Times New Roman" w:cs="Times New Roman"/>
          <w:b/>
          <w:bCs/>
          <w:sz w:val="24"/>
          <w:szCs w:val="24"/>
        </w:rPr>
        <w:t>)</w:t>
      </w:r>
      <w:r w:rsidR="0081466E">
        <w:rPr>
          <w:rFonts w:ascii="Times New Roman" w:hAnsi="Times New Roman" w:cs="Times New Roman"/>
          <w:b/>
          <w:bCs/>
          <w:sz w:val="24"/>
          <w:szCs w:val="24"/>
        </w:rPr>
        <w:t xml:space="preserve"> -</w:t>
      </w:r>
      <w:r w:rsidRPr="005B679D">
        <w:rPr>
          <w:rFonts w:ascii="Times New Roman" w:hAnsi="Times New Roman" w:cs="Times New Roman"/>
          <w:sz w:val="24"/>
          <w:szCs w:val="24"/>
        </w:rPr>
        <w:t xml:space="preserve"> etapp, mille käigus seade tehakse liidu turul esmakordselt lõppkasutajale sihtotstarbekohaseks kasutamiseks kättesaadavaks. Seadmeid, mis on valmistatud ja mida kasutatakse tervishoiuasutustes käsitatakse kasutusele võetud seadmetena</w:t>
      </w:r>
      <w:r w:rsidR="001A0D74" w:rsidRPr="005B679D">
        <w:rPr>
          <w:rFonts w:ascii="Times New Roman" w:hAnsi="Times New Roman" w:cs="Times New Roman"/>
          <w:sz w:val="24"/>
          <w:szCs w:val="24"/>
        </w:rPr>
        <w:t>.</w:t>
      </w:r>
    </w:p>
    <w:p w14:paraId="3C5024AE" w14:textId="77777777" w:rsidR="000024CE" w:rsidRDefault="000024CE" w:rsidP="000024CE">
      <w:pPr>
        <w:spacing w:after="0"/>
        <w:jc w:val="both"/>
        <w:rPr>
          <w:rFonts w:ascii="Times New Roman" w:hAnsi="Times New Roman" w:cs="Times New Roman"/>
          <w:sz w:val="24"/>
          <w:szCs w:val="24"/>
        </w:rPr>
      </w:pPr>
    </w:p>
    <w:p w14:paraId="7029CC8D" w14:textId="2BC7DEFD" w:rsidR="00253B46" w:rsidRDefault="00253B46" w:rsidP="000024CE">
      <w:pPr>
        <w:pStyle w:val="Loendilik"/>
        <w:spacing w:after="0"/>
        <w:ind w:left="0"/>
        <w:jc w:val="both"/>
        <w:rPr>
          <w:rFonts w:ascii="Times New Roman" w:hAnsi="Times New Roman" w:cs="Times New Roman"/>
          <w:color w:val="000000"/>
          <w:sz w:val="24"/>
          <w:szCs w:val="24"/>
        </w:rPr>
      </w:pPr>
      <w:r w:rsidRPr="00253B46">
        <w:rPr>
          <w:rFonts w:ascii="Times New Roman" w:hAnsi="Times New Roman" w:cs="Times New Roman"/>
          <w:b/>
          <w:sz w:val="24"/>
          <w:szCs w:val="24"/>
        </w:rPr>
        <w:t>Sihtotstarve</w:t>
      </w:r>
      <w:r w:rsidRPr="00253B46">
        <w:rPr>
          <w:rFonts w:ascii="Times New Roman" w:hAnsi="Times New Roman" w:cs="Times New Roman"/>
          <w:sz w:val="24"/>
          <w:szCs w:val="24"/>
        </w:rPr>
        <w:t xml:space="preserve"> </w:t>
      </w:r>
      <w:r w:rsidR="0081466E" w:rsidRPr="0081466E">
        <w:rPr>
          <w:rFonts w:ascii="Times New Roman" w:hAnsi="Times New Roman" w:cs="Times New Roman"/>
          <w:b/>
          <w:i/>
          <w:sz w:val="24"/>
          <w:szCs w:val="24"/>
        </w:rPr>
        <w:t>(</w:t>
      </w:r>
      <w:proofErr w:type="spellStart"/>
      <w:r w:rsidR="0081466E" w:rsidRPr="0081466E">
        <w:rPr>
          <w:rFonts w:ascii="Times New Roman" w:hAnsi="Times New Roman" w:cs="Times New Roman"/>
          <w:b/>
          <w:i/>
          <w:sz w:val="24"/>
          <w:szCs w:val="24"/>
        </w:rPr>
        <w:t>intended</w:t>
      </w:r>
      <w:proofErr w:type="spellEnd"/>
      <w:r w:rsidR="0081466E" w:rsidRPr="0081466E">
        <w:rPr>
          <w:rFonts w:ascii="Times New Roman" w:hAnsi="Times New Roman" w:cs="Times New Roman"/>
          <w:b/>
          <w:i/>
          <w:sz w:val="24"/>
          <w:szCs w:val="24"/>
        </w:rPr>
        <w:t xml:space="preserve"> </w:t>
      </w:r>
      <w:proofErr w:type="spellStart"/>
      <w:r w:rsidR="0081466E" w:rsidRPr="0081466E">
        <w:rPr>
          <w:rFonts w:ascii="Times New Roman" w:hAnsi="Times New Roman" w:cs="Times New Roman"/>
          <w:b/>
          <w:i/>
          <w:sz w:val="24"/>
          <w:szCs w:val="24"/>
        </w:rPr>
        <w:t>purpose</w:t>
      </w:r>
      <w:proofErr w:type="spellEnd"/>
      <w:r w:rsidR="0081466E" w:rsidRPr="0081466E">
        <w:rPr>
          <w:rFonts w:ascii="Times New Roman" w:hAnsi="Times New Roman" w:cs="Times New Roman"/>
          <w:b/>
          <w:i/>
          <w:sz w:val="24"/>
          <w:szCs w:val="24"/>
        </w:rPr>
        <w:t>)</w:t>
      </w:r>
      <w:r w:rsidR="0081466E">
        <w:rPr>
          <w:rFonts w:ascii="Times New Roman" w:hAnsi="Times New Roman" w:cs="Times New Roman"/>
          <w:i/>
          <w:sz w:val="24"/>
          <w:szCs w:val="24"/>
        </w:rPr>
        <w:t xml:space="preserve"> </w:t>
      </w:r>
      <w:r w:rsidR="0081466E">
        <w:rPr>
          <w:rFonts w:ascii="Times New Roman" w:hAnsi="Times New Roman" w:cs="Times New Roman"/>
          <w:sz w:val="24"/>
          <w:szCs w:val="24"/>
        </w:rPr>
        <w:t>-</w:t>
      </w:r>
      <w:r w:rsidRPr="00253B46">
        <w:rPr>
          <w:rFonts w:ascii="Times New Roman" w:hAnsi="Times New Roman" w:cs="Times New Roman"/>
          <w:sz w:val="24"/>
          <w:szCs w:val="24"/>
        </w:rPr>
        <w:t xml:space="preserve"> </w:t>
      </w:r>
      <w:r w:rsidRPr="00253B46">
        <w:rPr>
          <w:rFonts w:ascii="Times New Roman" w:hAnsi="Times New Roman" w:cs="Times New Roman"/>
          <w:color w:val="000000"/>
          <w:sz w:val="24"/>
          <w:szCs w:val="24"/>
        </w:rPr>
        <w:t xml:space="preserve">kasutus, milleks tootja on seadme märgistusel, kasutusjuhendis või reklaam- või müügimaterjalides või avaldustes esitatud teabe kohaselt ette näinud või nagu tootja on täpsustanud </w:t>
      </w:r>
      <w:proofErr w:type="spellStart"/>
      <w:r w:rsidRPr="00253B46">
        <w:rPr>
          <w:rFonts w:ascii="Times New Roman" w:hAnsi="Times New Roman" w:cs="Times New Roman"/>
          <w:color w:val="000000"/>
          <w:sz w:val="24"/>
          <w:szCs w:val="24"/>
        </w:rPr>
        <w:t>toimivuse</w:t>
      </w:r>
      <w:proofErr w:type="spellEnd"/>
      <w:r w:rsidRPr="00253B46">
        <w:rPr>
          <w:rFonts w:ascii="Times New Roman" w:hAnsi="Times New Roman" w:cs="Times New Roman"/>
          <w:color w:val="000000"/>
          <w:sz w:val="24"/>
          <w:szCs w:val="24"/>
        </w:rPr>
        <w:t xml:space="preserve"> hindamise käigus. Kokkuvõtvalt: Seadme kasutusala seadme tootja poolt ettenähtud ulatuses ja viisil.</w:t>
      </w:r>
    </w:p>
    <w:p w14:paraId="04EBF971" w14:textId="77777777" w:rsidR="000024CE" w:rsidRPr="00253B46" w:rsidRDefault="000024CE" w:rsidP="000024CE">
      <w:pPr>
        <w:pStyle w:val="Loendilik"/>
        <w:spacing w:after="0"/>
        <w:ind w:left="0"/>
        <w:jc w:val="both"/>
        <w:rPr>
          <w:rFonts w:ascii="Times New Roman" w:hAnsi="Times New Roman" w:cs="Times New Roman"/>
          <w:color w:val="000000"/>
          <w:sz w:val="24"/>
          <w:szCs w:val="24"/>
        </w:rPr>
      </w:pPr>
    </w:p>
    <w:p w14:paraId="1DEE22BF" w14:textId="0A351E82" w:rsidR="000024CE" w:rsidRPr="000024CE" w:rsidRDefault="000A6BA0" w:rsidP="000024CE">
      <w:pPr>
        <w:spacing w:after="0"/>
        <w:jc w:val="both"/>
        <w:rPr>
          <w:rFonts w:ascii="Times New Roman" w:hAnsi="Times New Roman" w:cs="Times New Roman"/>
          <w:sz w:val="24"/>
          <w:szCs w:val="24"/>
        </w:rPr>
      </w:pPr>
      <w:r w:rsidRPr="005B679D">
        <w:rPr>
          <w:rFonts w:ascii="Times New Roman" w:hAnsi="Times New Roman" w:cs="Times New Roman"/>
          <w:b/>
          <w:bCs/>
          <w:sz w:val="24"/>
          <w:szCs w:val="24"/>
        </w:rPr>
        <w:t>Pärandseade</w:t>
      </w:r>
      <w:r w:rsidRPr="005B679D">
        <w:rPr>
          <w:rFonts w:ascii="Times New Roman" w:hAnsi="Times New Roman" w:cs="Times New Roman"/>
          <w:sz w:val="24"/>
          <w:szCs w:val="24"/>
        </w:rPr>
        <w:t xml:space="preserve"> </w:t>
      </w:r>
      <w:r w:rsidRPr="005B679D">
        <w:rPr>
          <w:rFonts w:ascii="Times New Roman" w:hAnsi="Times New Roman" w:cs="Times New Roman"/>
          <w:b/>
          <w:bCs/>
          <w:sz w:val="24"/>
          <w:szCs w:val="24"/>
        </w:rPr>
        <w:t>(</w:t>
      </w:r>
      <w:proofErr w:type="spellStart"/>
      <w:r w:rsidRPr="005B679D">
        <w:rPr>
          <w:rFonts w:ascii="Times New Roman" w:hAnsi="Times New Roman" w:cs="Times New Roman"/>
          <w:b/>
          <w:bCs/>
          <w:i/>
          <w:iCs/>
          <w:sz w:val="24"/>
          <w:szCs w:val="24"/>
        </w:rPr>
        <w:t>legacy</w:t>
      </w:r>
      <w:proofErr w:type="spellEnd"/>
      <w:r w:rsidRPr="005B679D">
        <w:rPr>
          <w:rFonts w:ascii="Times New Roman" w:hAnsi="Times New Roman" w:cs="Times New Roman"/>
          <w:b/>
          <w:bCs/>
          <w:i/>
          <w:iCs/>
          <w:sz w:val="24"/>
          <w:szCs w:val="24"/>
        </w:rPr>
        <w:t xml:space="preserve"> </w:t>
      </w:r>
      <w:proofErr w:type="spellStart"/>
      <w:r w:rsidRPr="005B679D">
        <w:rPr>
          <w:rFonts w:ascii="Times New Roman" w:hAnsi="Times New Roman" w:cs="Times New Roman"/>
          <w:b/>
          <w:bCs/>
          <w:i/>
          <w:iCs/>
          <w:sz w:val="24"/>
          <w:szCs w:val="24"/>
        </w:rPr>
        <w:t>device</w:t>
      </w:r>
      <w:proofErr w:type="spellEnd"/>
      <w:r w:rsidRPr="005B679D">
        <w:rPr>
          <w:rFonts w:ascii="Times New Roman" w:hAnsi="Times New Roman" w:cs="Times New Roman"/>
          <w:b/>
          <w:bCs/>
          <w:sz w:val="24"/>
          <w:szCs w:val="24"/>
        </w:rPr>
        <w:t>)</w:t>
      </w:r>
      <w:r w:rsidR="002A75A5" w:rsidRPr="005B679D">
        <w:rPr>
          <w:rFonts w:ascii="Times New Roman" w:hAnsi="Times New Roman" w:cs="Times New Roman"/>
          <w:sz w:val="24"/>
          <w:szCs w:val="24"/>
        </w:rPr>
        <w:t xml:space="preserve"> </w:t>
      </w:r>
      <w:r w:rsidR="0081466E">
        <w:rPr>
          <w:rFonts w:ascii="Times New Roman" w:hAnsi="Times New Roman" w:cs="Times New Roman"/>
          <w:sz w:val="24"/>
          <w:szCs w:val="24"/>
        </w:rPr>
        <w:t>-</w:t>
      </w:r>
      <w:r w:rsidR="00B55136" w:rsidRPr="005B679D">
        <w:rPr>
          <w:rFonts w:ascii="Times New Roman" w:hAnsi="Times New Roman" w:cs="Times New Roman"/>
          <w:sz w:val="24"/>
          <w:szCs w:val="24"/>
        </w:rPr>
        <w:t xml:space="preserve"> </w:t>
      </w:r>
      <w:r w:rsidRPr="005B679D">
        <w:rPr>
          <w:rFonts w:ascii="Times New Roman" w:hAnsi="Times New Roman" w:cs="Times New Roman"/>
          <w:sz w:val="24"/>
          <w:szCs w:val="24"/>
        </w:rPr>
        <w:t xml:space="preserve">seade, millel on </w:t>
      </w:r>
      <w:r w:rsidR="00B55136" w:rsidRPr="005B679D">
        <w:rPr>
          <w:rFonts w:ascii="Times New Roman" w:hAnsi="Times New Roman" w:cs="Times New Roman"/>
          <w:sz w:val="24"/>
          <w:szCs w:val="24"/>
        </w:rPr>
        <w:t>I</w:t>
      </w:r>
      <w:r w:rsidR="002A75A5" w:rsidRPr="005B679D">
        <w:rPr>
          <w:rFonts w:ascii="Times New Roman" w:hAnsi="Times New Roman" w:cs="Times New Roman"/>
          <w:sz w:val="24"/>
          <w:szCs w:val="24"/>
        </w:rPr>
        <w:t>VDD</w:t>
      </w:r>
      <w:r w:rsidR="00FC7583" w:rsidRPr="005B679D">
        <w:rPr>
          <w:rFonts w:ascii="Times New Roman" w:hAnsi="Times New Roman" w:cs="Times New Roman"/>
          <w:sz w:val="24"/>
          <w:szCs w:val="24"/>
        </w:rPr>
        <w:t xml:space="preserve"> alusel </w:t>
      </w:r>
      <w:r w:rsidR="00B55136" w:rsidRPr="005B679D">
        <w:rPr>
          <w:rFonts w:ascii="Times New Roman" w:hAnsi="Times New Roman" w:cs="Times New Roman"/>
          <w:sz w:val="24"/>
          <w:szCs w:val="24"/>
        </w:rPr>
        <w:t xml:space="preserve">enne 26.05.2022 </w:t>
      </w:r>
      <w:r w:rsidR="00FC7583" w:rsidRPr="005B679D">
        <w:rPr>
          <w:rFonts w:ascii="Times New Roman" w:hAnsi="Times New Roman" w:cs="Times New Roman"/>
          <w:sz w:val="24"/>
          <w:szCs w:val="24"/>
        </w:rPr>
        <w:t>välja antud</w:t>
      </w:r>
      <w:r w:rsidR="002A75A5" w:rsidRPr="005B679D">
        <w:rPr>
          <w:rFonts w:ascii="Times New Roman" w:hAnsi="Times New Roman" w:cs="Times New Roman"/>
          <w:sz w:val="24"/>
          <w:szCs w:val="24"/>
        </w:rPr>
        <w:t xml:space="preserve"> </w:t>
      </w:r>
      <w:r w:rsidR="00B55136" w:rsidRPr="005B679D">
        <w:rPr>
          <w:rFonts w:ascii="Times New Roman" w:hAnsi="Times New Roman" w:cs="Times New Roman"/>
          <w:sz w:val="24"/>
          <w:szCs w:val="24"/>
        </w:rPr>
        <w:t xml:space="preserve">kehtiv </w:t>
      </w:r>
      <w:r w:rsidR="002A75A5" w:rsidRPr="005B679D">
        <w:rPr>
          <w:rFonts w:ascii="Times New Roman" w:hAnsi="Times New Roman" w:cs="Times New Roman"/>
          <w:sz w:val="24"/>
          <w:szCs w:val="24"/>
        </w:rPr>
        <w:t>vastavussertifikaat</w:t>
      </w:r>
      <w:r w:rsidR="00B55136" w:rsidRPr="005B679D">
        <w:rPr>
          <w:rFonts w:ascii="Times New Roman" w:hAnsi="Times New Roman" w:cs="Times New Roman"/>
          <w:sz w:val="24"/>
          <w:szCs w:val="24"/>
        </w:rPr>
        <w:t xml:space="preserve"> või seade, mille vastavusdeklaratsioon koostati enne 26.05.2022 ning mille vastavushindamises peaks </w:t>
      </w:r>
      <w:proofErr w:type="spellStart"/>
      <w:r w:rsidR="00B55136" w:rsidRPr="005B679D">
        <w:rPr>
          <w:rFonts w:ascii="Times New Roman" w:hAnsi="Times New Roman" w:cs="Times New Roman"/>
          <w:sz w:val="24"/>
          <w:szCs w:val="24"/>
        </w:rPr>
        <w:t>IVDRi</w:t>
      </w:r>
      <w:proofErr w:type="spellEnd"/>
      <w:r w:rsidR="00B55136" w:rsidRPr="005B679D">
        <w:rPr>
          <w:rFonts w:ascii="Times New Roman" w:hAnsi="Times New Roman" w:cs="Times New Roman"/>
          <w:sz w:val="24"/>
          <w:szCs w:val="24"/>
        </w:rPr>
        <w:t xml:space="preserve"> alusel osalema teavitatud asutus. Selliseid seadmeid võib nii turule lasta kui ka kasutusele võtta </w:t>
      </w:r>
      <w:proofErr w:type="spellStart"/>
      <w:r w:rsidR="00B55136" w:rsidRPr="005B679D">
        <w:rPr>
          <w:rFonts w:ascii="Times New Roman" w:hAnsi="Times New Roman" w:cs="Times New Roman"/>
          <w:sz w:val="24"/>
          <w:szCs w:val="24"/>
        </w:rPr>
        <w:t>IVDRi</w:t>
      </w:r>
      <w:proofErr w:type="spellEnd"/>
      <w:r w:rsidR="00B55136" w:rsidRPr="005B679D">
        <w:rPr>
          <w:rFonts w:ascii="Times New Roman" w:hAnsi="Times New Roman" w:cs="Times New Roman"/>
          <w:sz w:val="24"/>
          <w:szCs w:val="24"/>
        </w:rPr>
        <w:t xml:space="preserve"> artiklis 110 esitatud üleminekusätete raames</w:t>
      </w:r>
      <w:r w:rsidR="00CE042E" w:rsidRPr="005B679D">
        <w:rPr>
          <w:rFonts w:ascii="Times New Roman" w:hAnsi="Times New Roman" w:cs="Times New Roman"/>
          <w:sz w:val="24"/>
          <w:szCs w:val="24"/>
        </w:rPr>
        <w:t xml:space="preserve"> st </w:t>
      </w:r>
      <w:r w:rsidR="00CE042E" w:rsidRPr="005B679D">
        <w:rPr>
          <w:rFonts w:ascii="Times New Roman" w:hAnsi="Times New Roman" w:cs="Times New Roman"/>
          <w:b/>
          <w:bCs/>
          <w:sz w:val="24"/>
          <w:szCs w:val="24"/>
        </w:rPr>
        <w:t>hiljem</w:t>
      </w:r>
      <w:r w:rsidR="00CE042E" w:rsidRPr="005B679D">
        <w:rPr>
          <w:rFonts w:ascii="Times New Roman" w:hAnsi="Times New Roman" w:cs="Times New Roman"/>
          <w:sz w:val="24"/>
          <w:szCs w:val="24"/>
        </w:rPr>
        <w:t xml:space="preserve"> kui 26.</w:t>
      </w:r>
      <w:r w:rsidR="00895710" w:rsidRPr="005B679D">
        <w:rPr>
          <w:rFonts w:ascii="Times New Roman" w:hAnsi="Times New Roman" w:cs="Times New Roman"/>
          <w:sz w:val="24"/>
          <w:szCs w:val="24"/>
        </w:rPr>
        <w:t xml:space="preserve"> mai </w:t>
      </w:r>
      <w:r w:rsidR="00CE042E" w:rsidRPr="005B679D">
        <w:rPr>
          <w:rFonts w:ascii="Times New Roman" w:hAnsi="Times New Roman" w:cs="Times New Roman"/>
          <w:sz w:val="24"/>
          <w:szCs w:val="24"/>
        </w:rPr>
        <w:t>2022</w:t>
      </w:r>
      <w:r w:rsidR="00B55136" w:rsidRPr="005B679D">
        <w:rPr>
          <w:rFonts w:ascii="Times New Roman" w:hAnsi="Times New Roman" w:cs="Times New Roman"/>
          <w:sz w:val="24"/>
          <w:szCs w:val="24"/>
        </w:rPr>
        <w:t xml:space="preserve">. </w:t>
      </w:r>
    </w:p>
    <w:p w14:paraId="4F13C81D" w14:textId="4F1B0D80" w:rsidR="0024719F" w:rsidRDefault="0024719F" w:rsidP="000024CE">
      <w:pPr>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Üleminekuperioodi lõpp tähendab seda, et kõik seadmed, mida lastakse turule pärast </w:t>
      </w:r>
      <w:proofErr w:type="spellStart"/>
      <w:r w:rsidRPr="005B679D">
        <w:rPr>
          <w:rFonts w:ascii="Times New Roman" w:hAnsi="Times New Roman" w:cs="Times New Roman"/>
          <w:sz w:val="24"/>
          <w:szCs w:val="24"/>
        </w:rPr>
        <w:t>ülemi-nekuperioodi</w:t>
      </w:r>
      <w:proofErr w:type="spellEnd"/>
      <w:r w:rsidRPr="005B679D">
        <w:rPr>
          <w:rFonts w:ascii="Times New Roman" w:hAnsi="Times New Roman" w:cs="Times New Roman"/>
          <w:sz w:val="24"/>
          <w:szCs w:val="24"/>
        </w:rPr>
        <w:t xml:space="preserve"> lõpu kuupäeva peavad vastama </w:t>
      </w:r>
      <w:proofErr w:type="spellStart"/>
      <w:r w:rsidRPr="005B679D">
        <w:rPr>
          <w:rFonts w:ascii="Times New Roman" w:hAnsi="Times New Roman" w:cs="Times New Roman"/>
          <w:sz w:val="24"/>
          <w:szCs w:val="24"/>
        </w:rPr>
        <w:t>IVDRi</w:t>
      </w:r>
      <w:proofErr w:type="spellEnd"/>
      <w:r w:rsidRPr="005B679D">
        <w:rPr>
          <w:rFonts w:ascii="Times New Roman" w:hAnsi="Times New Roman" w:cs="Times New Roman"/>
          <w:sz w:val="24"/>
          <w:szCs w:val="24"/>
        </w:rPr>
        <w:t xml:space="preserve"> nõuetele.</w:t>
      </w:r>
    </w:p>
    <w:p w14:paraId="5BE1D57E" w14:textId="77777777" w:rsidR="000024CE" w:rsidRPr="005B679D" w:rsidRDefault="000024CE" w:rsidP="000024CE">
      <w:pPr>
        <w:spacing w:after="0"/>
        <w:jc w:val="both"/>
        <w:rPr>
          <w:rFonts w:ascii="Times New Roman" w:hAnsi="Times New Roman" w:cs="Times New Roman"/>
          <w:sz w:val="24"/>
          <w:szCs w:val="24"/>
        </w:rPr>
      </w:pPr>
    </w:p>
    <w:p w14:paraId="44F0D966" w14:textId="70579E6B" w:rsidR="0024719F" w:rsidRPr="005B679D" w:rsidRDefault="000A6BA0" w:rsidP="000024CE">
      <w:pPr>
        <w:spacing w:after="0"/>
        <w:jc w:val="both"/>
        <w:rPr>
          <w:rFonts w:ascii="Times New Roman" w:hAnsi="Times New Roman" w:cs="Times New Roman"/>
          <w:sz w:val="24"/>
          <w:szCs w:val="24"/>
        </w:rPr>
      </w:pPr>
      <w:r w:rsidRPr="005B679D">
        <w:rPr>
          <w:rFonts w:ascii="Times New Roman" w:hAnsi="Times New Roman" w:cs="Times New Roman"/>
          <w:sz w:val="24"/>
          <w:szCs w:val="24"/>
        </w:rPr>
        <w:t>’</w:t>
      </w:r>
      <w:r w:rsidRPr="005B679D">
        <w:rPr>
          <w:rFonts w:ascii="Times New Roman" w:hAnsi="Times New Roman" w:cs="Times New Roman"/>
          <w:b/>
          <w:bCs/>
          <w:sz w:val="24"/>
          <w:szCs w:val="24"/>
        </w:rPr>
        <w:t xml:space="preserve">Vana’ </w:t>
      </w:r>
      <w:r w:rsidR="00EB727B" w:rsidRPr="005B679D">
        <w:rPr>
          <w:rFonts w:ascii="Times New Roman" w:hAnsi="Times New Roman" w:cs="Times New Roman"/>
          <w:sz w:val="24"/>
          <w:szCs w:val="24"/>
        </w:rPr>
        <w:t>(</w:t>
      </w:r>
      <w:r w:rsidRPr="005B679D">
        <w:rPr>
          <w:rFonts w:ascii="Times New Roman" w:hAnsi="Times New Roman" w:cs="Times New Roman"/>
          <w:sz w:val="24"/>
          <w:szCs w:val="24"/>
        </w:rPr>
        <w:t>’</w:t>
      </w:r>
      <w:proofErr w:type="spellStart"/>
      <w:r w:rsidRPr="005B679D">
        <w:rPr>
          <w:rFonts w:ascii="Times New Roman" w:hAnsi="Times New Roman" w:cs="Times New Roman"/>
          <w:i/>
          <w:sz w:val="24"/>
          <w:szCs w:val="24"/>
        </w:rPr>
        <w:t>old</w:t>
      </w:r>
      <w:proofErr w:type="spellEnd"/>
      <w:r w:rsidRPr="005B679D">
        <w:rPr>
          <w:rFonts w:ascii="Times New Roman" w:hAnsi="Times New Roman" w:cs="Times New Roman"/>
          <w:sz w:val="24"/>
          <w:szCs w:val="24"/>
        </w:rPr>
        <w:t>’</w:t>
      </w:r>
      <w:r w:rsidR="00EB727B" w:rsidRPr="005B679D">
        <w:rPr>
          <w:rFonts w:ascii="Times New Roman" w:hAnsi="Times New Roman" w:cs="Times New Roman"/>
          <w:sz w:val="24"/>
          <w:szCs w:val="24"/>
        </w:rPr>
        <w:t>)</w:t>
      </w:r>
      <w:r w:rsidRPr="005B679D">
        <w:rPr>
          <w:rFonts w:ascii="Times New Roman" w:hAnsi="Times New Roman" w:cs="Times New Roman"/>
          <w:sz w:val="24"/>
          <w:szCs w:val="24"/>
        </w:rPr>
        <w:t xml:space="preserve"> </w:t>
      </w:r>
      <w:r w:rsidRPr="005B679D">
        <w:rPr>
          <w:rFonts w:ascii="Times New Roman" w:hAnsi="Times New Roman" w:cs="Times New Roman"/>
          <w:i/>
          <w:iCs/>
          <w:sz w:val="24"/>
          <w:szCs w:val="24"/>
        </w:rPr>
        <w:t xml:space="preserve">in </w:t>
      </w:r>
      <w:proofErr w:type="spellStart"/>
      <w:r w:rsidRPr="005B679D">
        <w:rPr>
          <w:rFonts w:ascii="Times New Roman" w:hAnsi="Times New Roman" w:cs="Times New Roman"/>
          <w:i/>
          <w:iCs/>
          <w:sz w:val="24"/>
          <w:szCs w:val="24"/>
        </w:rPr>
        <w:t>vitro</w:t>
      </w:r>
      <w:proofErr w:type="spellEnd"/>
      <w:r w:rsidRPr="005B679D">
        <w:rPr>
          <w:rFonts w:ascii="Times New Roman" w:hAnsi="Times New Roman" w:cs="Times New Roman"/>
          <w:sz w:val="24"/>
          <w:szCs w:val="24"/>
        </w:rPr>
        <w:t xml:space="preserve"> </w:t>
      </w:r>
      <w:r w:rsidRPr="005B679D">
        <w:rPr>
          <w:rFonts w:ascii="Times New Roman" w:hAnsi="Times New Roman" w:cs="Times New Roman"/>
          <w:bCs/>
          <w:sz w:val="24"/>
          <w:szCs w:val="24"/>
        </w:rPr>
        <w:t>diagnostikameditsiiniseadme</w:t>
      </w:r>
      <w:r w:rsidRPr="005B679D">
        <w:rPr>
          <w:rFonts w:ascii="Times New Roman" w:hAnsi="Times New Roman" w:cs="Times New Roman"/>
          <w:sz w:val="24"/>
          <w:szCs w:val="24"/>
        </w:rPr>
        <w:t xml:space="preserve"> all mõeldakse seadet, mis </w:t>
      </w:r>
      <w:r w:rsidRPr="005B679D">
        <w:rPr>
          <w:rFonts w:ascii="Times New Roman" w:hAnsi="Times New Roman" w:cs="Times New Roman"/>
          <w:sz w:val="24"/>
          <w:szCs w:val="24"/>
          <w:u w:val="single"/>
        </w:rPr>
        <w:t xml:space="preserve">lasti turule või võeti kasutusele </w:t>
      </w:r>
      <w:r w:rsidRPr="005B679D">
        <w:rPr>
          <w:rFonts w:ascii="Times New Roman" w:hAnsi="Times New Roman" w:cs="Times New Roman"/>
          <w:b/>
          <w:sz w:val="24"/>
          <w:szCs w:val="24"/>
          <w:u w:val="single"/>
        </w:rPr>
        <w:t>enne</w:t>
      </w:r>
      <w:r w:rsidRPr="005B679D">
        <w:rPr>
          <w:rFonts w:ascii="Times New Roman" w:hAnsi="Times New Roman" w:cs="Times New Roman"/>
          <w:sz w:val="24"/>
          <w:szCs w:val="24"/>
          <w:u w:val="single"/>
        </w:rPr>
        <w:t xml:space="preserve"> 26. maid 2022</w:t>
      </w:r>
      <w:r w:rsidRPr="005B679D">
        <w:rPr>
          <w:rFonts w:ascii="Times New Roman" w:hAnsi="Times New Roman" w:cs="Times New Roman"/>
          <w:sz w:val="24"/>
          <w:szCs w:val="24"/>
        </w:rPr>
        <w:t xml:space="preserve"> kooskõlas </w:t>
      </w:r>
      <w:r w:rsidR="001A6017" w:rsidRPr="005B679D">
        <w:rPr>
          <w:rFonts w:ascii="Times New Roman" w:hAnsi="Times New Roman" w:cs="Times New Roman"/>
          <w:sz w:val="24"/>
          <w:szCs w:val="24"/>
        </w:rPr>
        <w:t>IVD</w:t>
      </w:r>
      <w:r w:rsidR="002D528B" w:rsidRPr="005B679D">
        <w:rPr>
          <w:rFonts w:ascii="Times New Roman" w:hAnsi="Times New Roman" w:cs="Times New Roman"/>
          <w:sz w:val="24"/>
          <w:szCs w:val="24"/>
        </w:rPr>
        <w:t xml:space="preserve">D nõuetega </w:t>
      </w:r>
      <w:r w:rsidRPr="005B679D">
        <w:rPr>
          <w:rFonts w:ascii="Times New Roman" w:hAnsi="Times New Roman" w:cs="Times New Roman"/>
          <w:sz w:val="24"/>
          <w:szCs w:val="24"/>
        </w:rPr>
        <w:t>ja mis on endiselt turul või kasutusel pärast 26. maid 2022.</w:t>
      </w:r>
      <w:r w:rsidR="0024719F" w:rsidRPr="005B679D">
        <w:rPr>
          <w:rFonts w:ascii="Times New Roman" w:hAnsi="Times New Roman" w:cs="Times New Roman"/>
          <w:sz w:val="24"/>
          <w:szCs w:val="24"/>
        </w:rPr>
        <w:t xml:space="preserve"> </w:t>
      </w:r>
    </w:p>
    <w:p w14:paraId="66D1083A" w14:textId="77777777" w:rsidR="00D92AB1" w:rsidRPr="005B679D" w:rsidRDefault="00D92AB1" w:rsidP="000024CE">
      <w:pPr>
        <w:spacing w:after="0"/>
        <w:jc w:val="both"/>
        <w:rPr>
          <w:rFonts w:ascii="Times New Roman" w:hAnsi="Times New Roman" w:cs="Times New Roman"/>
          <w:sz w:val="24"/>
          <w:szCs w:val="24"/>
        </w:rPr>
      </w:pPr>
    </w:p>
    <w:p w14:paraId="7C3581AB" w14:textId="2C5D13C8" w:rsidR="00D92AB1" w:rsidRDefault="00D92AB1" w:rsidP="000024CE">
      <w:pPr>
        <w:spacing w:after="0"/>
        <w:jc w:val="both"/>
        <w:rPr>
          <w:rFonts w:ascii="Times New Roman" w:hAnsi="Times New Roman" w:cs="Times New Roman"/>
          <w:sz w:val="24"/>
          <w:szCs w:val="24"/>
        </w:rPr>
      </w:pPr>
      <w:r w:rsidRPr="005B679D">
        <w:rPr>
          <w:rFonts w:ascii="Times New Roman" w:hAnsi="Times New Roman" w:cs="Times New Roman"/>
          <w:b/>
          <w:sz w:val="24"/>
          <w:szCs w:val="24"/>
        </w:rPr>
        <w:t xml:space="preserve">Tervishoiuasutuses valmistatud seade </w:t>
      </w:r>
      <w:r w:rsidRPr="005B679D">
        <w:rPr>
          <w:rFonts w:ascii="Times New Roman" w:hAnsi="Times New Roman" w:cs="Times New Roman"/>
          <w:sz w:val="24"/>
          <w:szCs w:val="24"/>
        </w:rPr>
        <w:t>– teise nimega LDT (</w:t>
      </w:r>
      <w:proofErr w:type="spellStart"/>
      <w:r w:rsidRPr="005B679D">
        <w:rPr>
          <w:rFonts w:ascii="Times New Roman" w:hAnsi="Times New Roman" w:cs="Times New Roman"/>
          <w:i/>
          <w:sz w:val="24"/>
          <w:szCs w:val="24"/>
        </w:rPr>
        <w:t>Laboratory</w:t>
      </w:r>
      <w:proofErr w:type="spellEnd"/>
      <w:r w:rsidRPr="005B679D">
        <w:rPr>
          <w:rFonts w:ascii="Times New Roman" w:hAnsi="Times New Roman" w:cs="Times New Roman"/>
          <w:i/>
          <w:sz w:val="24"/>
          <w:szCs w:val="24"/>
        </w:rPr>
        <w:t xml:space="preserve"> </w:t>
      </w:r>
      <w:proofErr w:type="spellStart"/>
      <w:r w:rsidRPr="005B679D">
        <w:rPr>
          <w:rFonts w:ascii="Times New Roman" w:hAnsi="Times New Roman" w:cs="Times New Roman"/>
          <w:i/>
          <w:sz w:val="24"/>
          <w:szCs w:val="24"/>
        </w:rPr>
        <w:t>Developed</w:t>
      </w:r>
      <w:proofErr w:type="spellEnd"/>
      <w:r w:rsidRPr="005B679D">
        <w:rPr>
          <w:rFonts w:ascii="Times New Roman" w:hAnsi="Times New Roman" w:cs="Times New Roman"/>
          <w:i/>
          <w:sz w:val="24"/>
          <w:szCs w:val="24"/>
        </w:rPr>
        <w:t xml:space="preserve"> Test</w:t>
      </w:r>
      <w:r w:rsidRPr="005B679D">
        <w:rPr>
          <w:rFonts w:ascii="Times New Roman" w:hAnsi="Times New Roman" w:cs="Times New Roman"/>
          <w:sz w:val="24"/>
          <w:szCs w:val="24"/>
        </w:rPr>
        <w:t xml:space="preserve">) </w:t>
      </w:r>
      <w:r w:rsidR="002D528B" w:rsidRPr="005B679D">
        <w:rPr>
          <w:rFonts w:ascii="Times New Roman" w:hAnsi="Times New Roman" w:cs="Times New Roman"/>
          <w:sz w:val="24"/>
          <w:szCs w:val="24"/>
        </w:rPr>
        <w:t xml:space="preserve">või ka </w:t>
      </w:r>
      <w:r w:rsidR="002D528B" w:rsidRPr="005B679D">
        <w:rPr>
          <w:rFonts w:ascii="Times New Roman" w:hAnsi="Times New Roman" w:cs="Times New Roman"/>
          <w:i/>
          <w:sz w:val="24"/>
          <w:szCs w:val="24"/>
        </w:rPr>
        <w:t>i</w:t>
      </w:r>
      <w:r w:rsidRPr="005B679D">
        <w:rPr>
          <w:rFonts w:ascii="Times New Roman" w:hAnsi="Times New Roman" w:cs="Times New Roman"/>
          <w:i/>
          <w:sz w:val="24"/>
          <w:szCs w:val="24"/>
        </w:rPr>
        <w:t>n-</w:t>
      </w:r>
      <w:proofErr w:type="spellStart"/>
      <w:r w:rsidRPr="005B679D">
        <w:rPr>
          <w:rFonts w:ascii="Times New Roman" w:hAnsi="Times New Roman" w:cs="Times New Roman"/>
          <w:i/>
          <w:sz w:val="24"/>
          <w:szCs w:val="24"/>
        </w:rPr>
        <w:t>house</w:t>
      </w:r>
      <w:proofErr w:type="spellEnd"/>
      <w:r w:rsidRPr="005B679D">
        <w:rPr>
          <w:rFonts w:ascii="Times New Roman" w:hAnsi="Times New Roman" w:cs="Times New Roman"/>
          <w:sz w:val="24"/>
          <w:szCs w:val="24"/>
        </w:rPr>
        <w:t xml:space="preserve"> seade – seade, mi</w:t>
      </w:r>
      <w:r w:rsidR="002D528B" w:rsidRPr="005B679D">
        <w:rPr>
          <w:rFonts w:ascii="Times New Roman" w:hAnsi="Times New Roman" w:cs="Times New Roman"/>
          <w:sz w:val="24"/>
          <w:szCs w:val="24"/>
        </w:rPr>
        <w:t xml:space="preserve">da </w:t>
      </w:r>
      <w:r w:rsidRPr="005B679D">
        <w:rPr>
          <w:rFonts w:ascii="Times New Roman" w:hAnsi="Times New Roman" w:cs="Times New Roman"/>
          <w:sz w:val="24"/>
          <w:szCs w:val="24"/>
        </w:rPr>
        <w:t>valmistatakse ning kasutatakse tervishoiuasutuses</w:t>
      </w:r>
      <w:r w:rsidR="00D3402C" w:rsidRPr="005B679D">
        <w:rPr>
          <w:rFonts w:ascii="Times New Roman" w:hAnsi="Times New Roman" w:cs="Times New Roman"/>
          <w:sz w:val="24"/>
          <w:szCs w:val="24"/>
        </w:rPr>
        <w:t xml:space="preserve"> vastavalt </w:t>
      </w:r>
      <w:proofErr w:type="spellStart"/>
      <w:r w:rsidR="00D3402C" w:rsidRPr="005B679D">
        <w:rPr>
          <w:rFonts w:ascii="Times New Roman" w:hAnsi="Times New Roman" w:cs="Times New Roman"/>
          <w:sz w:val="24"/>
          <w:szCs w:val="24"/>
        </w:rPr>
        <w:t>IVDRi</w:t>
      </w:r>
      <w:proofErr w:type="spellEnd"/>
      <w:r w:rsidR="00D3402C" w:rsidRPr="005B679D">
        <w:rPr>
          <w:rFonts w:ascii="Times New Roman" w:hAnsi="Times New Roman" w:cs="Times New Roman"/>
          <w:sz w:val="24"/>
          <w:szCs w:val="24"/>
        </w:rPr>
        <w:t xml:space="preserve"> artiklile 5 lõikele 5</w:t>
      </w:r>
      <w:r w:rsidRPr="005B679D">
        <w:rPr>
          <w:rFonts w:ascii="Times New Roman" w:hAnsi="Times New Roman" w:cs="Times New Roman"/>
          <w:sz w:val="24"/>
          <w:szCs w:val="24"/>
        </w:rPr>
        <w:t>.</w:t>
      </w:r>
      <w:r w:rsidR="003A4120" w:rsidRPr="005B679D">
        <w:rPr>
          <w:rFonts w:ascii="Times New Roman" w:hAnsi="Times New Roman" w:cs="Times New Roman"/>
          <w:sz w:val="24"/>
          <w:szCs w:val="24"/>
        </w:rPr>
        <w:t xml:space="preserve"> </w:t>
      </w:r>
      <w:r w:rsidR="001A0D74" w:rsidRPr="005B679D">
        <w:rPr>
          <w:rFonts w:ascii="Times New Roman" w:hAnsi="Times New Roman" w:cs="Times New Roman"/>
          <w:i/>
          <w:iCs/>
          <w:sz w:val="24"/>
          <w:szCs w:val="24"/>
        </w:rPr>
        <w:t>In-</w:t>
      </w:r>
      <w:proofErr w:type="spellStart"/>
      <w:r w:rsidR="001A0D74" w:rsidRPr="005B679D">
        <w:rPr>
          <w:rFonts w:ascii="Times New Roman" w:hAnsi="Times New Roman" w:cs="Times New Roman"/>
          <w:i/>
          <w:iCs/>
          <w:sz w:val="24"/>
          <w:szCs w:val="24"/>
        </w:rPr>
        <w:t>house</w:t>
      </w:r>
      <w:proofErr w:type="spellEnd"/>
      <w:r w:rsidR="001A0D74" w:rsidRPr="005B679D">
        <w:rPr>
          <w:rFonts w:ascii="Times New Roman" w:hAnsi="Times New Roman" w:cs="Times New Roman"/>
          <w:sz w:val="24"/>
          <w:szCs w:val="24"/>
        </w:rPr>
        <w:t xml:space="preserve"> seade on n</w:t>
      </w:r>
      <w:r w:rsidR="003A4120" w:rsidRPr="005B679D">
        <w:rPr>
          <w:rFonts w:ascii="Times New Roman" w:hAnsi="Times New Roman" w:cs="Times New Roman"/>
          <w:sz w:val="24"/>
          <w:szCs w:val="24"/>
        </w:rPr>
        <w:t>äiteks: RUO</w:t>
      </w:r>
      <w:r w:rsidR="001A0D74" w:rsidRPr="005B679D">
        <w:rPr>
          <w:rFonts w:ascii="Times New Roman" w:hAnsi="Times New Roman" w:cs="Times New Roman"/>
          <w:sz w:val="24"/>
          <w:szCs w:val="24"/>
        </w:rPr>
        <w:t xml:space="preserve"> (</w:t>
      </w:r>
      <w:proofErr w:type="spellStart"/>
      <w:r w:rsidR="001A0D74" w:rsidRPr="005B679D">
        <w:rPr>
          <w:rFonts w:ascii="Times New Roman" w:hAnsi="Times New Roman" w:cs="Times New Roman"/>
          <w:i/>
          <w:sz w:val="24"/>
          <w:szCs w:val="24"/>
        </w:rPr>
        <w:t>reseach</w:t>
      </w:r>
      <w:proofErr w:type="spellEnd"/>
      <w:r w:rsidR="001A0D74" w:rsidRPr="005B679D">
        <w:rPr>
          <w:rFonts w:ascii="Times New Roman" w:hAnsi="Times New Roman" w:cs="Times New Roman"/>
          <w:i/>
          <w:sz w:val="24"/>
          <w:szCs w:val="24"/>
        </w:rPr>
        <w:t xml:space="preserve"> </w:t>
      </w:r>
      <w:proofErr w:type="spellStart"/>
      <w:r w:rsidR="001A0D74" w:rsidRPr="005B679D">
        <w:rPr>
          <w:rFonts w:ascii="Times New Roman" w:hAnsi="Times New Roman" w:cs="Times New Roman"/>
          <w:i/>
          <w:sz w:val="24"/>
          <w:szCs w:val="24"/>
        </w:rPr>
        <w:t>use</w:t>
      </w:r>
      <w:proofErr w:type="spellEnd"/>
      <w:r w:rsidR="001A0D74" w:rsidRPr="005B679D">
        <w:rPr>
          <w:rFonts w:ascii="Times New Roman" w:hAnsi="Times New Roman" w:cs="Times New Roman"/>
          <w:i/>
          <w:sz w:val="24"/>
          <w:szCs w:val="24"/>
        </w:rPr>
        <w:t xml:space="preserve"> </w:t>
      </w:r>
      <w:proofErr w:type="spellStart"/>
      <w:r w:rsidR="001A0D74" w:rsidRPr="005B679D">
        <w:rPr>
          <w:rFonts w:ascii="Times New Roman" w:hAnsi="Times New Roman" w:cs="Times New Roman"/>
          <w:i/>
          <w:sz w:val="24"/>
          <w:szCs w:val="24"/>
        </w:rPr>
        <w:t>only</w:t>
      </w:r>
      <w:proofErr w:type="spellEnd"/>
      <w:r w:rsidR="001A0D74" w:rsidRPr="005B679D">
        <w:rPr>
          <w:rFonts w:ascii="Times New Roman" w:hAnsi="Times New Roman" w:cs="Times New Roman"/>
          <w:sz w:val="24"/>
          <w:szCs w:val="24"/>
        </w:rPr>
        <w:t>) märgisega too</w:t>
      </w:r>
      <w:r w:rsidR="00E90BBC" w:rsidRPr="005B679D">
        <w:rPr>
          <w:rFonts w:ascii="Times New Roman" w:hAnsi="Times New Roman" w:cs="Times New Roman"/>
          <w:sz w:val="24"/>
          <w:szCs w:val="24"/>
        </w:rPr>
        <w:t>tel põhinev seade</w:t>
      </w:r>
      <w:r w:rsidR="001A0D74" w:rsidRPr="005B679D">
        <w:rPr>
          <w:rFonts w:ascii="Times New Roman" w:hAnsi="Times New Roman" w:cs="Times New Roman"/>
          <w:sz w:val="24"/>
          <w:szCs w:val="24"/>
        </w:rPr>
        <w:t xml:space="preserve">; IVD direktiivi või määrusele vastavalt toodetud toode, mida on laboris modifitseeritud; </w:t>
      </w:r>
      <w:r w:rsidR="005110A7" w:rsidRPr="005B679D">
        <w:rPr>
          <w:rFonts w:ascii="Times New Roman" w:hAnsi="Times New Roman" w:cs="Times New Roman"/>
          <w:sz w:val="24"/>
          <w:szCs w:val="24"/>
        </w:rPr>
        <w:t>laboris väljatöötatud metoodika vms.</w:t>
      </w:r>
    </w:p>
    <w:p w14:paraId="09CCB441" w14:textId="77777777" w:rsidR="000024CE" w:rsidRPr="005B679D" w:rsidRDefault="000024CE" w:rsidP="000024CE">
      <w:pPr>
        <w:spacing w:after="0"/>
        <w:jc w:val="both"/>
        <w:rPr>
          <w:rFonts w:ascii="Times New Roman" w:hAnsi="Times New Roman" w:cs="Times New Roman"/>
          <w:sz w:val="24"/>
          <w:szCs w:val="24"/>
          <w:u w:val="single"/>
        </w:rPr>
      </w:pPr>
    </w:p>
    <w:p w14:paraId="2BBC6CD7" w14:textId="77777777" w:rsidR="00305FAE" w:rsidRPr="005B679D" w:rsidRDefault="000A6BA0" w:rsidP="000024CE">
      <w:pPr>
        <w:pStyle w:val="Pealkiri1"/>
        <w:numPr>
          <w:ilvl w:val="0"/>
          <w:numId w:val="4"/>
        </w:numPr>
        <w:spacing w:before="0"/>
        <w:jc w:val="both"/>
        <w:rPr>
          <w:rFonts w:ascii="Times New Roman" w:hAnsi="Times New Roman" w:cs="Times New Roman"/>
          <w:b/>
          <w:color w:val="auto"/>
          <w:sz w:val="24"/>
          <w:szCs w:val="24"/>
        </w:rPr>
      </w:pPr>
      <w:bookmarkStart w:id="2" w:name="_Toc163656444"/>
      <w:r w:rsidRPr="005B679D">
        <w:rPr>
          <w:rFonts w:ascii="Times New Roman" w:hAnsi="Times New Roman" w:cs="Times New Roman"/>
          <w:b/>
          <w:color w:val="auto"/>
          <w:sz w:val="24"/>
          <w:szCs w:val="24"/>
        </w:rPr>
        <w:t>Üleminekusätted. Määrus (EL) 2017/746, artikkel 110</w:t>
      </w:r>
      <w:bookmarkEnd w:id="2"/>
    </w:p>
    <w:p w14:paraId="76A84759" w14:textId="51217077" w:rsidR="009E4273" w:rsidRPr="00D87279" w:rsidRDefault="009E4273" w:rsidP="000024CE">
      <w:pPr>
        <w:spacing w:after="0"/>
        <w:jc w:val="both"/>
        <w:rPr>
          <w:rFonts w:ascii="Times New Roman" w:hAnsi="Times New Roman" w:cs="Times New Roman"/>
          <w:sz w:val="24"/>
          <w:szCs w:val="24"/>
        </w:rPr>
      </w:pPr>
      <w:r w:rsidRPr="00E077F6">
        <w:rPr>
          <w:rFonts w:ascii="Times New Roman" w:hAnsi="Times New Roman" w:cs="Times New Roman"/>
          <w:sz w:val="24"/>
          <w:szCs w:val="24"/>
        </w:rPr>
        <w:t xml:space="preserve">Kogu see peatükk räägib eelkõige levitaja/tootja vastutusest. </w:t>
      </w:r>
      <w:r w:rsidR="00D87279">
        <w:rPr>
          <w:rFonts w:ascii="Times New Roman" w:hAnsi="Times New Roman" w:cs="Times New Roman"/>
          <w:sz w:val="24"/>
          <w:szCs w:val="24"/>
        </w:rPr>
        <w:t>N</w:t>
      </w:r>
      <w:r w:rsidRPr="00E077F6">
        <w:rPr>
          <w:rFonts w:ascii="Times New Roman" w:hAnsi="Times New Roman" w:cs="Times New Roman"/>
          <w:sz w:val="24"/>
          <w:szCs w:val="24"/>
        </w:rPr>
        <w:t xml:space="preserve">ende otsene kohustus </w:t>
      </w:r>
      <w:r w:rsidR="00D87279">
        <w:rPr>
          <w:rFonts w:ascii="Times New Roman" w:hAnsi="Times New Roman" w:cs="Times New Roman"/>
          <w:sz w:val="24"/>
          <w:szCs w:val="24"/>
        </w:rPr>
        <w:t xml:space="preserve">on </w:t>
      </w:r>
      <w:r w:rsidRPr="00E077F6">
        <w:rPr>
          <w:rFonts w:ascii="Times New Roman" w:hAnsi="Times New Roman" w:cs="Times New Roman"/>
          <w:sz w:val="24"/>
          <w:szCs w:val="24"/>
        </w:rPr>
        <w:t>määruse punkte jälgida ja määrust detailselt t</w:t>
      </w:r>
      <w:r w:rsidR="00D87279">
        <w:rPr>
          <w:rFonts w:ascii="Times New Roman" w:hAnsi="Times New Roman" w:cs="Times New Roman"/>
          <w:sz w:val="24"/>
          <w:szCs w:val="24"/>
        </w:rPr>
        <w:t>und</w:t>
      </w:r>
      <w:r w:rsidRPr="00E077F6">
        <w:rPr>
          <w:rFonts w:ascii="Times New Roman" w:hAnsi="Times New Roman" w:cs="Times New Roman"/>
          <w:sz w:val="24"/>
          <w:szCs w:val="24"/>
        </w:rPr>
        <w:t xml:space="preserve">a. Labor peab üleminekusätteid teadma eelkõige hangete </w:t>
      </w:r>
      <w:r w:rsidR="00D87279">
        <w:rPr>
          <w:rFonts w:ascii="Times New Roman" w:hAnsi="Times New Roman" w:cs="Times New Roman"/>
          <w:sz w:val="24"/>
          <w:szCs w:val="24"/>
        </w:rPr>
        <w:t xml:space="preserve">läbiviimisel </w:t>
      </w:r>
      <w:r w:rsidRPr="00E077F6">
        <w:rPr>
          <w:rFonts w:ascii="Times New Roman" w:hAnsi="Times New Roman" w:cs="Times New Roman"/>
          <w:sz w:val="24"/>
          <w:szCs w:val="24"/>
        </w:rPr>
        <w:t>või strateegiliste otsuste tegemisel.</w:t>
      </w:r>
    </w:p>
    <w:p w14:paraId="30C619F8" w14:textId="77777777" w:rsidR="00305FAE" w:rsidRPr="005B679D" w:rsidRDefault="009E4273" w:rsidP="000024CE">
      <w:pPr>
        <w:spacing w:after="0"/>
        <w:jc w:val="both"/>
        <w:rPr>
          <w:rFonts w:ascii="Times New Roman" w:hAnsi="Times New Roman" w:cs="Times New Roman"/>
          <w:sz w:val="24"/>
          <w:szCs w:val="24"/>
        </w:rPr>
      </w:pPr>
      <w:r w:rsidRPr="005B679D">
        <w:rPr>
          <w:rFonts w:ascii="Times New Roman" w:hAnsi="Times New Roman" w:cs="Times New Roman"/>
          <w:sz w:val="24"/>
          <w:szCs w:val="24"/>
        </w:rPr>
        <w:t>Juba toodetud</w:t>
      </w:r>
      <w:r w:rsidR="00D87279">
        <w:rPr>
          <w:rFonts w:ascii="Times New Roman" w:hAnsi="Times New Roman" w:cs="Times New Roman"/>
          <w:sz w:val="24"/>
          <w:szCs w:val="24"/>
        </w:rPr>
        <w:t xml:space="preserve"> ja</w:t>
      </w:r>
      <w:r w:rsidRPr="005B679D">
        <w:rPr>
          <w:rFonts w:ascii="Times New Roman" w:hAnsi="Times New Roman" w:cs="Times New Roman"/>
          <w:sz w:val="24"/>
          <w:szCs w:val="24"/>
        </w:rPr>
        <w:t xml:space="preserve"> </w:t>
      </w:r>
      <w:r w:rsidR="000A6BA0" w:rsidRPr="005B679D">
        <w:rPr>
          <w:rFonts w:ascii="Times New Roman" w:hAnsi="Times New Roman" w:cs="Times New Roman"/>
          <w:sz w:val="24"/>
          <w:szCs w:val="24"/>
        </w:rPr>
        <w:t>turul</w:t>
      </w:r>
      <w:r w:rsidR="00A5682A" w:rsidRPr="005B679D">
        <w:rPr>
          <w:rFonts w:ascii="Times New Roman" w:hAnsi="Times New Roman" w:cs="Times New Roman"/>
          <w:sz w:val="24"/>
          <w:szCs w:val="24"/>
        </w:rPr>
        <w:t xml:space="preserve">e lastud </w:t>
      </w:r>
      <w:r w:rsidR="000A6BA0" w:rsidRPr="005B679D">
        <w:rPr>
          <w:rFonts w:ascii="Times New Roman" w:hAnsi="Times New Roman" w:cs="Times New Roman"/>
          <w:sz w:val="24"/>
          <w:szCs w:val="24"/>
        </w:rPr>
        <w:t>seadme</w:t>
      </w:r>
      <w:r w:rsidR="001A6017" w:rsidRPr="005B679D">
        <w:rPr>
          <w:rFonts w:ascii="Times New Roman" w:hAnsi="Times New Roman" w:cs="Times New Roman"/>
          <w:sz w:val="24"/>
          <w:szCs w:val="24"/>
        </w:rPr>
        <w:t>i</w:t>
      </w:r>
      <w:r w:rsidR="000A6BA0" w:rsidRPr="005B679D">
        <w:rPr>
          <w:rFonts w:ascii="Times New Roman" w:hAnsi="Times New Roman" w:cs="Times New Roman"/>
          <w:sz w:val="24"/>
          <w:szCs w:val="24"/>
        </w:rPr>
        <w:t xml:space="preserve">d </w:t>
      </w:r>
      <w:r w:rsidR="001A6017" w:rsidRPr="005B679D">
        <w:rPr>
          <w:rFonts w:ascii="Times New Roman" w:hAnsi="Times New Roman" w:cs="Times New Roman"/>
          <w:sz w:val="24"/>
          <w:szCs w:val="24"/>
        </w:rPr>
        <w:t>võib müüa ilma lõpptähtajata</w:t>
      </w:r>
      <w:r w:rsidR="00A5682A" w:rsidRPr="005B679D">
        <w:rPr>
          <w:rFonts w:ascii="Times New Roman" w:hAnsi="Times New Roman" w:cs="Times New Roman"/>
          <w:sz w:val="24"/>
          <w:szCs w:val="24"/>
        </w:rPr>
        <w:t>, järgides siiski seadmetele määratud kasutamise lõppkuupäevi</w:t>
      </w:r>
      <w:r w:rsidR="001A6017" w:rsidRPr="005B679D">
        <w:rPr>
          <w:rFonts w:ascii="Times New Roman" w:hAnsi="Times New Roman" w:cs="Times New Roman"/>
          <w:sz w:val="24"/>
          <w:szCs w:val="24"/>
        </w:rPr>
        <w:t>.</w:t>
      </w:r>
      <w:r w:rsidR="000A6BA0" w:rsidRPr="005B679D">
        <w:rPr>
          <w:rFonts w:ascii="Times New Roman" w:hAnsi="Times New Roman" w:cs="Times New Roman"/>
          <w:sz w:val="24"/>
          <w:szCs w:val="24"/>
        </w:rPr>
        <w:t xml:space="preserve"> </w:t>
      </w:r>
    </w:p>
    <w:p w14:paraId="3ADF03A7" w14:textId="77777777" w:rsidR="00305FAE" w:rsidRPr="005B679D" w:rsidRDefault="00D42C05" w:rsidP="000024CE">
      <w:pPr>
        <w:spacing w:after="0"/>
        <w:jc w:val="both"/>
        <w:rPr>
          <w:rFonts w:ascii="Times New Roman" w:hAnsi="Times New Roman" w:cs="Times New Roman"/>
          <w:sz w:val="24"/>
          <w:szCs w:val="24"/>
        </w:rPr>
      </w:pPr>
      <w:r w:rsidRPr="005B679D">
        <w:rPr>
          <w:noProof/>
          <w:lang w:eastAsia="et-EE"/>
        </w:rPr>
        <w:lastRenderedPageBreak/>
        <w:drawing>
          <wp:inline distT="0" distB="0" distL="0" distR="0" wp14:anchorId="457424F2" wp14:editId="13BA20F9">
            <wp:extent cx="5760720" cy="3114141"/>
            <wp:effectExtent l="0" t="0" r="0" b="0"/>
            <wp:docPr id="2" name="Pilt 2" descr="cid:image001.png@01D99F98.D5451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cid:image001.png@01D99F98.D54514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60720" cy="3114141"/>
                    </a:xfrm>
                    <a:prstGeom prst="rect">
                      <a:avLst/>
                    </a:prstGeom>
                    <a:noFill/>
                    <a:ln>
                      <a:noFill/>
                    </a:ln>
                  </pic:spPr>
                </pic:pic>
              </a:graphicData>
            </a:graphic>
          </wp:inline>
        </w:drawing>
      </w:r>
    </w:p>
    <w:p w14:paraId="189BFF3A" w14:textId="77777777" w:rsidR="00305FAE" w:rsidRPr="005B679D" w:rsidRDefault="000A6BA0" w:rsidP="000024CE">
      <w:pPr>
        <w:spacing w:after="0"/>
        <w:jc w:val="both"/>
        <w:rPr>
          <w:rFonts w:ascii="Times New Roman" w:hAnsi="Times New Roman" w:cs="Times New Roman"/>
          <w:b/>
          <w:bCs/>
          <w:sz w:val="24"/>
          <w:szCs w:val="24"/>
        </w:rPr>
      </w:pPr>
      <w:r w:rsidRPr="005B679D">
        <w:rPr>
          <w:rFonts w:ascii="Times New Roman" w:hAnsi="Times New Roman" w:cs="Times New Roman"/>
          <w:b/>
          <w:bCs/>
          <w:sz w:val="24"/>
          <w:szCs w:val="24"/>
        </w:rPr>
        <w:t>Pärandseadmetele rakendatavad üleminekusätted. IVDR, artikkel 110.</w:t>
      </w:r>
    </w:p>
    <w:p w14:paraId="339B1A94" w14:textId="35A3F655" w:rsidR="00305FAE" w:rsidRPr="005B679D" w:rsidRDefault="000A6BA0" w:rsidP="000024CE">
      <w:pPr>
        <w:pStyle w:val="Loendilik"/>
        <w:numPr>
          <w:ilvl w:val="0"/>
          <w:numId w:val="3"/>
        </w:numPr>
        <w:spacing w:after="0"/>
        <w:jc w:val="both"/>
        <w:rPr>
          <w:rFonts w:ascii="Times New Roman" w:hAnsi="Times New Roman" w:cs="Times New Roman"/>
          <w:sz w:val="24"/>
          <w:szCs w:val="24"/>
        </w:rPr>
      </w:pPr>
      <w:r w:rsidRPr="005B679D">
        <w:rPr>
          <w:rFonts w:ascii="Times New Roman" w:hAnsi="Times New Roman" w:cs="Times New Roman"/>
          <w:sz w:val="24"/>
          <w:szCs w:val="24"/>
        </w:rPr>
        <w:t>Seadmete</w:t>
      </w:r>
      <w:r w:rsidR="00B1424B">
        <w:rPr>
          <w:rFonts w:ascii="Times New Roman" w:hAnsi="Times New Roman" w:cs="Times New Roman"/>
          <w:sz w:val="24"/>
          <w:szCs w:val="24"/>
        </w:rPr>
        <w:t xml:space="preserve"> puhul</w:t>
      </w:r>
      <w:r w:rsidRPr="005B679D">
        <w:rPr>
          <w:rFonts w:ascii="Times New Roman" w:hAnsi="Times New Roman" w:cs="Times New Roman"/>
          <w:sz w:val="24"/>
          <w:szCs w:val="24"/>
        </w:rPr>
        <w:t>, mille</w:t>
      </w:r>
      <w:r w:rsidR="004D0F4F">
        <w:rPr>
          <w:rFonts w:ascii="Times New Roman" w:hAnsi="Times New Roman" w:cs="Times New Roman"/>
          <w:sz w:val="24"/>
          <w:szCs w:val="24"/>
        </w:rPr>
        <w:t>le</w:t>
      </w:r>
      <w:r w:rsidRPr="005B679D">
        <w:rPr>
          <w:rFonts w:ascii="Times New Roman" w:hAnsi="Times New Roman" w:cs="Times New Roman"/>
          <w:sz w:val="24"/>
          <w:szCs w:val="24"/>
        </w:rPr>
        <w:t xml:space="preserve"> on </w:t>
      </w:r>
      <w:r w:rsidRPr="005B679D">
        <w:rPr>
          <w:rFonts w:ascii="Times New Roman" w:hAnsi="Times New Roman" w:cs="Times New Roman"/>
          <w:bCs/>
          <w:sz w:val="24"/>
          <w:szCs w:val="24"/>
        </w:rPr>
        <w:t>enne 26. maid 2022</w:t>
      </w:r>
      <w:r w:rsidRPr="005B679D">
        <w:rPr>
          <w:rFonts w:ascii="Times New Roman" w:hAnsi="Times New Roman" w:cs="Times New Roman"/>
          <w:sz w:val="24"/>
          <w:szCs w:val="24"/>
        </w:rPr>
        <w:t xml:space="preserve"> väljastatud </w:t>
      </w:r>
      <w:r w:rsidRPr="005B679D">
        <w:rPr>
          <w:rFonts w:ascii="Times New Roman" w:hAnsi="Times New Roman" w:cs="Times New Roman"/>
          <w:bCs/>
          <w:sz w:val="24"/>
          <w:szCs w:val="24"/>
        </w:rPr>
        <w:t>E</w:t>
      </w:r>
      <w:r w:rsidR="00B1424B">
        <w:rPr>
          <w:rFonts w:ascii="Times New Roman" w:hAnsi="Times New Roman" w:cs="Times New Roman"/>
          <w:bCs/>
          <w:sz w:val="24"/>
          <w:szCs w:val="24"/>
        </w:rPr>
        <w:t>L</w:t>
      </w:r>
      <w:r w:rsidRPr="005B679D">
        <w:rPr>
          <w:rFonts w:ascii="Times New Roman" w:hAnsi="Times New Roman" w:cs="Times New Roman"/>
          <w:bCs/>
          <w:sz w:val="24"/>
          <w:szCs w:val="24"/>
        </w:rPr>
        <w:t xml:space="preserve"> teavitatud asutuse </w:t>
      </w:r>
      <w:proofErr w:type="spellStart"/>
      <w:r w:rsidRPr="005B679D">
        <w:rPr>
          <w:rFonts w:ascii="Times New Roman" w:hAnsi="Times New Roman" w:cs="Times New Roman"/>
          <w:bCs/>
          <w:sz w:val="24"/>
          <w:szCs w:val="24"/>
        </w:rPr>
        <w:t>vastuvussertifikaat</w:t>
      </w:r>
      <w:proofErr w:type="spellEnd"/>
      <w:r w:rsidRPr="005B679D">
        <w:rPr>
          <w:rFonts w:ascii="Times New Roman" w:hAnsi="Times New Roman" w:cs="Times New Roman"/>
          <w:bCs/>
          <w:sz w:val="24"/>
          <w:szCs w:val="24"/>
        </w:rPr>
        <w:t xml:space="preserve"> </w:t>
      </w:r>
      <w:r w:rsidRPr="005B679D">
        <w:rPr>
          <w:rFonts w:ascii="Times New Roman" w:hAnsi="Times New Roman" w:cs="Times New Roman"/>
          <w:sz w:val="24"/>
          <w:szCs w:val="24"/>
        </w:rPr>
        <w:t>IVDD alusel</w:t>
      </w:r>
      <w:r w:rsidR="00A5592A" w:rsidRPr="005B679D">
        <w:rPr>
          <w:rFonts w:ascii="Times New Roman" w:hAnsi="Times New Roman" w:cs="Times New Roman"/>
          <w:sz w:val="24"/>
          <w:szCs w:val="24"/>
        </w:rPr>
        <w:t xml:space="preserve"> ja mi</w:t>
      </w:r>
      <w:r w:rsidR="004D0F4F">
        <w:rPr>
          <w:rFonts w:ascii="Times New Roman" w:hAnsi="Times New Roman" w:cs="Times New Roman"/>
          <w:sz w:val="24"/>
          <w:szCs w:val="24"/>
        </w:rPr>
        <w:t>lledele on IVRD</w:t>
      </w:r>
      <w:r w:rsidR="004D0F4F" w:rsidRPr="005B679D">
        <w:rPr>
          <w:rFonts w:ascii="Times New Roman" w:hAnsi="Times New Roman" w:cs="Times New Roman"/>
          <w:sz w:val="24"/>
          <w:szCs w:val="24"/>
        </w:rPr>
        <w:t xml:space="preserve"> alusel </w:t>
      </w:r>
      <w:r w:rsidR="004D0F4F">
        <w:rPr>
          <w:rFonts w:ascii="Times New Roman" w:hAnsi="Times New Roman" w:cs="Times New Roman"/>
          <w:sz w:val="24"/>
          <w:szCs w:val="24"/>
        </w:rPr>
        <w:t>nõutud</w:t>
      </w:r>
      <w:r w:rsidR="00A5592A" w:rsidRPr="005B679D">
        <w:rPr>
          <w:rFonts w:ascii="Times New Roman" w:hAnsi="Times New Roman" w:cs="Times New Roman"/>
          <w:sz w:val="24"/>
          <w:szCs w:val="24"/>
        </w:rPr>
        <w:t xml:space="preserve"> </w:t>
      </w:r>
      <w:r w:rsidR="00A86D2B" w:rsidRPr="005B679D">
        <w:rPr>
          <w:rFonts w:ascii="Times New Roman" w:hAnsi="Times New Roman" w:cs="Times New Roman"/>
          <w:sz w:val="24"/>
          <w:szCs w:val="24"/>
        </w:rPr>
        <w:t xml:space="preserve">teavitatud asutuse </w:t>
      </w:r>
      <w:proofErr w:type="spellStart"/>
      <w:r w:rsidR="00A5592A" w:rsidRPr="005B679D">
        <w:rPr>
          <w:rFonts w:ascii="Times New Roman" w:hAnsi="Times New Roman" w:cs="Times New Roman"/>
          <w:sz w:val="24"/>
          <w:szCs w:val="24"/>
        </w:rPr>
        <w:t>va</w:t>
      </w:r>
      <w:r w:rsidR="00A86D2B" w:rsidRPr="005B679D">
        <w:rPr>
          <w:rFonts w:ascii="Times New Roman" w:hAnsi="Times New Roman" w:cs="Times New Roman"/>
          <w:sz w:val="24"/>
          <w:szCs w:val="24"/>
        </w:rPr>
        <w:t>stavushindam</w:t>
      </w:r>
      <w:r w:rsidR="004D0F4F">
        <w:rPr>
          <w:rFonts w:ascii="Times New Roman" w:hAnsi="Times New Roman" w:cs="Times New Roman"/>
          <w:sz w:val="24"/>
          <w:szCs w:val="24"/>
        </w:rPr>
        <w:t>ne</w:t>
      </w:r>
      <w:proofErr w:type="spellEnd"/>
      <w:r w:rsidR="00A86D2B" w:rsidRPr="005B679D">
        <w:rPr>
          <w:rFonts w:ascii="Times New Roman" w:hAnsi="Times New Roman" w:cs="Times New Roman"/>
          <w:sz w:val="24"/>
          <w:szCs w:val="24"/>
        </w:rPr>
        <w:t>,</w:t>
      </w:r>
      <w:r w:rsidR="00A5592A" w:rsidRPr="005B679D">
        <w:rPr>
          <w:rFonts w:ascii="Times New Roman" w:hAnsi="Times New Roman" w:cs="Times New Roman"/>
          <w:sz w:val="24"/>
          <w:szCs w:val="24"/>
        </w:rPr>
        <w:t xml:space="preserve"> </w:t>
      </w:r>
      <w:r w:rsidR="00690D4E" w:rsidRPr="005B679D">
        <w:rPr>
          <w:rFonts w:ascii="Times New Roman" w:hAnsi="Times New Roman" w:cs="Times New Roman"/>
          <w:sz w:val="24"/>
          <w:szCs w:val="24"/>
        </w:rPr>
        <w:t>lõpeb üleminekuperiood</w:t>
      </w:r>
      <w:r w:rsidRPr="005B679D">
        <w:rPr>
          <w:rFonts w:ascii="Times New Roman" w:hAnsi="Times New Roman" w:cs="Times New Roman"/>
          <w:sz w:val="24"/>
          <w:szCs w:val="24"/>
        </w:rPr>
        <w:t xml:space="preserve"> </w:t>
      </w:r>
      <w:r w:rsidRPr="005B679D">
        <w:rPr>
          <w:rFonts w:ascii="Times New Roman" w:hAnsi="Times New Roman" w:cs="Times New Roman"/>
          <w:bCs/>
          <w:sz w:val="24"/>
          <w:szCs w:val="24"/>
        </w:rPr>
        <w:t>26. mail 2025</w:t>
      </w:r>
      <w:r w:rsidR="00690D4E" w:rsidRPr="005B679D">
        <w:rPr>
          <w:rFonts w:ascii="Times New Roman" w:hAnsi="Times New Roman" w:cs="Times New Roman"/>
          <w:sz w:val="24"/>
          <w:szCs w:val="24"/>
        </w:rPr>
        <w:t>.</w:t>
      </w:r>
    </w:p>
    <w:p w14:paraId="605776AE" w14:textId="77777777" w:rsidR="00143CA1" w:rsidRPr="005B679D" w:rsidRDefault="00143CA1" w:rsidP="000024CE">
      <w:pPr>
        <w:pStyle w:val="Loendilik"/>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Kui kehtiva ELi </w:t>
      </w:r>
      <w:proofErr w:type="spellStart"/>
      <w:r w:rsidRPr="005B679D">
        <w:rPr>
          <w:rFonts w:ascii="Times New Roman" w:hAnsi="Times New Roman" w:cs="Times New Roman"/>
          <w:sz w:val="24"/>
          <w:szCs w:val="24"/>
        </w:rPr>
        <w:t>vastuvussertifikaadiga</w:t>
      </w:r>
      <w:proofErr w:type="spellEnd"/>
      <w:r w:rsidRPr="005B679D">
        <w:rPr>
          <w:rFonts w:ascii="Times New Roman" w:hAnsi="Times New Roman" w:cs="Times New Roman"/>
          <w:sz w:val="24"/>
          <w:szCs w:val="24"/>
        </w:rPr>
        <w:t xml:space="preserve"> seadmed lastakse turule enne 26. maid 2025 (ehk </w:t>
      </w:r>
      <w:r w:rsidR="00156403" w:rsidRPr="005B679D">
        <w:rPr>
          <w:rFonts w:ascii="Times New Roman" w:hAnsi="Times New Roman" w:cs="Times New Roman"/>
          <w:sz w:val="24"/>
          <w:szCs w:val="24"/>
        </w:rPr>
        <w:t xml:space="preserve">tootja poolt </w:t>
      </w:r>
      <w:r w:rsidRPr="005B679D">
        <w:rPr>
          <w:rFonts w:ascii="Times New Roman" w:hAnsi="Times New Roman" w:cs="Times New Roman"/>
          <w:sz w:val="24"/>
          <w:szCs w:val="24"/>
        </w:rPr>
        <w:t xml:space="preserve">sõlmitakse kellegagi müügileping), võib neid jätkuvalt kättesaadavaks teha </w:t>
      </w:r>
      <w:r w:rsidR="00E93F18" w:rsidRPr="005B679D">
        <w:rPr>
          <w:rFonts w:ascii="Times New Roman" w:hAnsi="Times New Roman" w:cs="Times New Roman"/>
          <w:sz w:val="24"/>
          <w:szCs w:val="24"/>
        </w:rPr>
        <w:t>või kasutusele võtta (a</w:t>
      </w:r>
      <w:r w:rsidRPr="005B679D">
        <w:rPr>
          <w:rFonts w:ascii="Times New Roman" w:hAnsi="Times New Roman" w:cs="Times New Roman"/>
          <w:sz w:val="24"/>
          <w:szCs w:val="24"/>
        </w:rPr>
        <w:t>rtikkel 110 lg 4).</w:t>
      </w:r>
    </w:p>
    <w:p w14:paraId="1670E607" w14:textId="77777777" w:rsidR="00143CA1" w:rsidRPr="005B679D" w:rsidRDefault="00143CA1" w:rsidP="000024CE">
      <w:pPr>
        <w:pStyle w:val="Loendilik"/>
        <w:spacing w:after="0"/>
        <w:ind w:left="786"/>
        <w:jc w:val="both"/>
        <w:rPr>
          <w:rFonts w:ascii="Times New Roman" w:hAnsi="Times New Roman" w:cs="Times New Roman"/>
          <w:sz w:val="24"/>
          <w:szCs w:val="24"/>
        </w:rPr>
      </w:pPr>
    </w:p>
    <w:p w14:paraId="043554D7" w14:textId="129717BF" w:rsidR="00305FAE" w:rsidRPr="005B679D" w:rsidRDefault="000A6BA0" w:rsidP="000024CE">
      <w:pPr>
        <w:pStyle w:val="Loendilik"/>
        <w:numPr>
          <w:ilvl w:val="0"/>
          <w:numId w:val="3"/>
        </w:numPr>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Seadmete puhul, mis kuuluvad IVDR kohaselt </w:t>
      </w:r>
      <w:r w:rsidRPr="005B679D">
        <w:rPr>
          <w:rFonts w:ascii="Times New Roman" w:hAnsi="Times New Roman" w:cs="Times New Roman"/>
          <w:bCs/>
          <w:sz w:val="24"/>
          <w:szCs w:val="24"/>
        </w:rPr>
        <w:t>D-klassi</w:t>
      </w:r>
      <w:r w:rsidR="006A1D0F">
        <w:rPr>
          <w:rFonts w:ascii="Times New Roman" w:hAnsi="Times New Roman" w:cs="Times New Roman"/>
          <w:bCs/>
          <w:sz w:val="24"/>
          <w:szCs w:val="24"/>
          <w:vertAlign w:val="superscript"/>
        </w:rPr>
        <w:t>1</w:t>
      </w:r>
      <w:r w:rsidR="00E93F18" w:rsidRPr="005B679D">
        <w:rPr>
          <w:rFonts w:ascii="Times New Roman" w:hAnsi="Times New Roman" w:cs="Times New Roman"/>
          <w:bCs/>
          <w:sz w:val="24"/>
          <w:szCs w:val="24"/>
        </w:rPr>
        <w:t>, kuid mille</w:t>
      </w:r>
      <w:r w:rsidR="004D0F4F">
        <w:rPr>
          <w:rFonts w:ascii="Times New Roman" w:hAnsi="Times New Roman" w:cs="Times New Roman"/>
          <w:bCs/>
          <w:sz w:val="24"/>
          <w:szCs w:val="24"/>
        </w:rPr>
        <w:t>le</w:t>
      </w:r>
      <w:r w:rsidR="00E93F18" w:rsidRPr="005B679D">
        <w:rPr>
          <w:rFonts w:ascii="Times New Roman" w:hAnsi="Times New Roman" w:cs="Times New Roman"/>
          <w:bCs/>
          <w:sz w:val="24"/>
          <w:szCs w:val="24"/>
        </w:rPr>
        <w:t xml:space="preserve"> ei olnud nõutud ELi </w:t>
      </w:r>
      <w:r w:rsidR="00B1424B">
        <w:rPr>
          <w:rFonts w:ascii="Times New Roman" w:hAnsi="Times New Roman" w:cs="Times New Roman"/>
          <w:bCs/>
          <w:sz w:val="24"/>
          <w:szCs w:val="24"/>
        </w:rPr>
        <w:t xml:space="preserve">teavitatud asutuse </w:t>
      </w:r>
      <w:r w:rsidR="00E93F18" w:rsidRPr="005B679D">
        <w:rPr>
          <w:rFonts w:ascii="Times New Roman" w:hAnsi="Times New Roman" w:cs="Times New Roman"/>
          <w:bCs/>
          <w:sz w:val="24"/>
          <w:szCs w:val="24"/>
        </w:rPr>
        <w:t>vastavussertifikaat</w:t>
      </w:r>
      <w:r w:rsidR="004D0F4F">
        <w:rPr>
          <w:rFonts w:ascii="Times New Roman" w:hAnsi="Times New Roman" w:cs="Times New Roman"/>
          <w:bCs/>
          <w:sz w:val="24"/>
          <w:szCs w:val="24"/>
        </w:rPr>
        <w:t>i</w:t>
      </w:r>
      <w:r w:rsidR="004D0F4F" w:rsidRPr="004D0F4F">
        <w:rPr>
          <w:rFonts w:ascii="Times New Roman" w:hAnsi="Times New Roman" w:cs="Times New Roman"/>
          <w:bCs/>
          <w:sz w:val="24"/>
          <w:szCs w:val="24"/>
        </w:rPr>
        <w:t xml:space="preserve"> </w:t>
      </w:r>
      <w:r w:rsidR="004D0F4F" w:rsidRPr="005B679D">
        <w:rPr>
          <w:rFonts w:ascii="Times New Roman" w:hAnsi="Times New Roman" w:cs="Times New Roman"/>
          <w:bCs/>
          <w:sz w:val="24"/>
          <w:szCs w:val="24"/>
        </w:rPr>
        <w:t>IVDD alusel</w:t>
      </w:r>
      <w:r w:rsidR="00E93F18" w:rsidRPr="005B679D">
        <w:rPr>
          <w:rFonts w:ascii="Times New Roman" w:hAnsi="Times New Roman" w:cs="Times New Roman"/>
          <w:bCs/>
          <w:sz w:val="24"/>
          <w:szCs w:val="24"/>
        </w:rPr>
        <w:t>,</w:t>
      </w:r>
      <w:r w:rsidRPr="005B679D">
        <w:rPr>
          <w:rFonts w:ascii="Times New Roman" w:hAnsi="Times New Roman" w:cs="Times New Roman"/>
          <w:sz w:val="24"/>
          <w:szCs w:val="24"/>
        </w:rPr>
        <w:t xml:space="preserve"> ja mille kohta on koostatud </w:t>
      </w:r>
      <w:r w:rsidR="004D0F4F">
        <w:rPr>
          <w:rFonts w:ascii="Times New Roman" w:hAnsi="Times New Roman" w:cs="Times New Roman"/>
          <w:sz w:val="24"/>
          <w:szCs w:val="24"/>
        </w:rPr>
        <w:t>tootja</w:t>
      </w:r>
      <w:r w:rsidR="004D0F4F" w:rsidRPr="005B679D">
        <w:rPr>
          <w:rFonts w:ascii="Times New Roman" w:hAnsi="Times New Roman" w:cs="Times New Roman"/>
          <w:sz w:val="24"/>
          <w:szCs w:val="24"/>
        </w:rPr>
        <w:t xml:space="preserve"> </w:t>
      </w:r>
      <w:r w:rsidRPr="005B679D">
        <w:rPr>
          <w:rFonts w:ascii="Times New Roman" w:hAnsi="Times New Roman" w:cs="Times New Roman"/>
          <w:sz w:val="24"/>
          <w:szCs w:val="24"/>
        </w:rPr>
        <w:t>vastavusdeklaratsioon enne 26. maid 2022</w:t>
      </w:r>
      <w:r w:rsidR="00E93F18" w:rsidRPr="005B679D">
        <w:rPr>
          <w:rFonts w:ascii="Times New Roman" w:hAnsi="Times New Roman" w:cs="Times New Roman"/>
          <w:sz w:val="24"/>
          <w:szCs w:val="24"/>
        </w:rPr>
        <w:t xml:space="preserve">, </w:t>
      </w:r>
      <w:r w:rsidRPr="005B679D">
        <w:rPr>
          <w:rFonts w:ascii="Times New Roman" w:hAnsi="Times New Roman" w:cs="Times New Roman"/>
          <w:sz w:val="24"/>
          <w:szCs w:val="24"/>
        </w:rPr>
        <w:t xml:space="preserve">lõpeb üleminekuperiood </w:t>
      </w:r>
      <w:r w:rsidRPr="005B679D">
        <w:rPr>
          <w:rFonts w:ascii="Times New Roman" w:hAnsi="Times New Roman" w:cs="Times New Roman"/>
          <w:bCs/>
          <w:sz w:val="24"/>
          <w:szCs w:val="24"/>
        </w:rPr>
        <w:t>26. mail 2025</w:t>
      </w:r>
      <w:r w:rsidRPr="005B679D">
        <w:rPr>
          <w:rFonts w:ascii="Times New Roman" w:hAnsi="Times New Roman" w:cs="Times New Roman"/>
          <w:sz w:val="24"/>
          <w:szCs w:val="24"/>
        </w:rPr>
        <w:t xml:space="preserve">. </w:t>
      </w:r>
    </w:p>
    <w:p w14:paraId="0D047BB9" w14:textId="77777777" w:rsidR="00143CA1" w:rsidRPr="005B679D" w:rsidRDefault="00143CA1" w:rsidP="000024CE">
      <w:pPr>
        <w:pStyle w:val="Loendilik"/>
        <w:spacing w:after="0"/>
        <w:ind w:hanging="11"/>
        <w:jc w:val="both"/>
        <w:rPr>
          <w:rFonts w:ascii="Times New Roman" w:hAnsi="Times New Roman" w:cs="Times New Roman"/>
          <w:sz w:val="24"/>
          <w:szCs w:val="24"/>
        </w:rPr>
      </w:pPr>
      <w:r w:rsidRPr="005B679D">
        <w:rPr>
          <w:rFonts w:ascii="Times New Roman" w:hAnsi="Times New Roman" w:cs="Times New Roman"/>
          <w:sz w:val="24"/>
          <w:szCs w:val="24"/>
        </w:rPr>
        <w:t xml:space="preserve">Kui </w:t>
      </w:r>
      <w:r w:rsidR="00E93F18" w:rsidRPr="005B679D">
        <w:rPr>
          <w:rFonts w:ascii="Times New Roman" w:hAnsi="Times New Roman" w:cs="Times New Roman"/>
          <w:sz w:val="24"/>
          <w:szCs w:val="24"/>
        </w:rPr>
        <w:t xml:space="preserve">sellised </w:t>
      </w:r>
      <w:r w:rsidRPr="005B679D">
        <w:rPr>
          <w:rFonts w:ascii="Times New Roman" w:hAnsi="Times New Roman" w:cs="Times New Roman"/>
          <w:sz w:val="24"/>
          <w:szCs w:val="24"/>
        </w:rPr>
        <w:t xml:space="preserve">seadmed lastakse turule enne 26. maid 2025 (ehk </w:t>
      </w:r>
      <w:r w:rsidR="00AB4C03" w:rsidRPr="005B679D">
        <w:rPr>
          <w:rFonts w:ascii="Times New Roman" w:hAnsi="Times New Roman" w:cs="Times New Roman"/>
          <w:sz w:val="24"/>
          <w:szCs w:val="24"/>
        </w:rPr>
        <w:t xml:space="preserve">tootja poolt </w:t>
      </w:r>
      <w:r w:rsidRPr="005B679D">
        <w:rPr>
          <w:rFonts w:ascii="Times New Roman" w:hAnsi="Times New Roman" w:cs="Times New Roman"/>
          <w:sz w:val="24"/>
          <w:szCs w:val="24"/>
        </w:rPr>
        <w:t>sõlmitakse kellegagi müügileping), võib neid jätkuvalt kättesaadavaks teha</w:t>
      </w:r>
      <w:r w:rsidR="00E93F18" w:rsidRPr="005B679D">
        <w:rPr>
          <w:rFonts w:ascii="Times New Roman" w:hAnsi="Times New Roman" w:cs="Times New Roman"/>
          <w:sz w:val="24"/>
          <w:szCs w:val="24"/>
        </w:rPr>
        <w:t xml:space="preserve"> või kasutusele võtta </w:t>
      </w:r>
      <w:r w:rsidRPr="005B679D">
        <w:rPr>
          <w:rFonts w:ascii="Times New Roman" w:hAnsi="Times New Roman" w:cs="Times New Roman"/>
          <w:sz w:val="24"/>
          <w:szCs w:val="24"/>
        </w:rPr>
        <w:t>(artikkel 110 lg 4).</w:t>
      </w:r>
    </w:p>
    <w:p w14:paraId="000B23DB" w14:textId="77777777" w:rsidR="00143CA1" w:rsidRPr="005B679D" w:rsidRDefault="00143CA1" w:rsidP="000024CE">
      <w:pPr>
        <w:pStyle w:val="Loendilik"/>
        <w:spacing w:after="0"/>
        <w:ind w:left="786"/>
        <w:jc w:val="both"/>
        <w:rPr>
          <w:rFonts w:ascii="Times New Roman" w:hAnsi="Times New Roman" w:cs="Times New Roman"/>
          <w:sz w:val="24"/>
          <w:szCs w:val="24"/>
        </w:rPr>
      </w:pPr>
    </w:p>
    <w:p w14:paraId="466B2C26" w14:textId="3E6F1BA9" w:rsidR="00305FAE" w:rsidRPr="005B679D" w:rsidRDefault="000A6BA0" w:rsidP="000024CE">
      <w:pPr>
        <w:pStyle w:val="Loendilik"/>
        <w:numPr>
          <w:ilvl w:val="0"/>
          <w:numId w:val="3"/>
        </w:numPr>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Seadmete puhul, mis kuuluvad IVDR kohaselt </w:t>
      </w:r>
      <w:r w:rsidRPr="005B679D">
        <w:rPr>
          <w:rFonts w:ascii="Times New Roman" w:hAnsi="Times New Roman" w:cs="Times New Roman"/>
          <w:bCs/>
          <w:sz w:val="24"/>
          <w:szCs w:val="24"/>
        </w:rPr>
        <w:t>C-klassi</w:t>
      </w:r>
      <w:r w:rsidR="00E93F18" w:rsidRPr="005B679D">
        <w:rPr>
          <w:rFonts w:ascii="Times New Roman" w:hAnsi="Times New Roman" w:cs="Times New Roman"/>
          <w:bCs/>
          <w:sz w:val="24"/>
          <w:szCs w:val="24"/>
        </w:rPr>
        <w:t xml:space="preserve">, </w:t>
      </w:r>
      <w:r w:rsidR="00B1424B" w:rsidRPr="005B679D">
        <w:rPr>
          <w:rFonts w:ascii="Times New Roman" w:hAnsi="Times New Roman" w:cs="Times New Roman"/>
          <w:bCs/>
          <w:sz w:val="24"/>
          <w:szCs w:val="24"/>
        </w:rPr>
        <w:t>kuid mille</w:t>
      </w:r>
      <w:r w:rsidR="00B1424B">
        <w:rPr>
          <w:rFonts w:ascii="Times New Roman" w:hAnsi="Times New Roman" w:cs="Times New Roman"/>
          <w:bCs/>
          <w:sz w:val="24"/>
          <w:szCs w:val="24"/>
        </w:rPr>
        <w:t>le</w:t>
      </w:r>
      <w:r w:rsidR="00B1424B" w:rsidRPr="005B679D">
        <w:rPr>
          <w:rFonts w:ascii="Times New Roman" w:hAnsi="Times New Roman" w:cs="Times New Roman"/>
          <w:bCs/>
          <w:sz w:val="24"/>
          <w:szCs w:val="24"/>
        </w:rPr>
        <w:t xml:space="preserve"> ei olnud nõutud ELi </w:t>
      </w:r>
      <w:r w:rsidR="00B1424B">
        <w:rPr>
          <w:rFonts w:ascii="Times New Roman" w:hAnsi="Times New Roman" w:cs="Times New Roman"/>
          <w:bCs/>
          <w:sz w:val="24"/>
          <w:szCs w:val="24"/>
        </w:rPr>
        <w:t xml:space="preserve">teavitatud asutuse </w:t>
      </w:r>
      <w:r w:rsidR="00B1424B" w:rsidRPr="005B679D">
        <w:rPr>
          <w:rFonts w:ascii="Times New Roman" w:hAnsi="Times New Roman" w:cs="Times New Roman"/>
          <w:bCs/>
          <w:sz w:val="24"/>
          <w:szCs w:val="24"/>
        </w:rPr>
        <w:t>vastavussertifikaat</w:t>
      </w:r>
      <w:r w:rsidR="00B1424B">
        <w:rPr>
          <w:rFonts w:ascii="Times New Roman" w:hAnsi="Times New Roman" w:cs="Times New Roman"/>
          <w:bCs/>
          <w:sz w:val="24"/>
          <w:szCs w:val="24"/>
        </w:rPr>
        <w:t>i</w:t>
      </w:r>
      <w:r w:rsidR="00B1424B" w:rsidRPr="004D0F4F">
        <w:rPr>
          <w:rFonts w:ascii="Times New Roman" w:hAnsi="Times New Roman" w:cs="Times New Roman"/>
          <w:bCs/>
          <w:sz w:val="24"/>
          <w:szCs w:val="24"/>
        </w:rPr>
        <w:t xml:space="preserve"> </w:t>
      </w:r>
      <w:r w:rsidR="00B1424B" w:rsidRPr="005B679D">
        <w:rPr>
          <w:rFonts w:ascii="Times New Roman" w:hAnsi="Times New Roman" w:cs="Times New Roman"/>
          <w:bCs/>
          <w:sz w:val="24"/>
          <w:szCs w:val="24"/>
        </w:rPr>
        <w:t>IVDD alusel,</w:t>
      </w:r>
      <w:r w:rsidR="00B1424B" w:rsidRPr="005B679D">
        <w:rPr>
          <w:rFonts w:ascii="Times New Roman" w:hAnsi="Times New Roman" w:cs="Times New Roman"/>
          <w:sz w:val="24"/>
          <w:szCs w:val="24"/>
        </w:rPr>
        <w:t xml:space="preserve"> ja mille kohta on koostatud </w:t>
      </w:r>
      <w:r w:rsidR="00B1424B">
        <w:rPr>
          <w:rFonts w:ascii="Times New Roman" w:hAnsi="Times New Roman" w:cs="Times New Roman"/>
          <w:sz w:val="24"/>
          <w:szCs w:val="24"/>
        </w:rPr>
        <w:t>tootja</w:t>
      </w:r>
      <w:r w:rsidR="00B1424B" w:rsidRPr="005B679D" w:rsidDel="00B1424B">
        <w:rPr>
          <w:rFonts w:ascii="Times New Roman" w:hAnsi="Times New Roman" w:cs="Times New Roman"/>
          <w:bCs/>
          <w:sz w:val="24"/>
          <w:szCs w:val="24"/>
        </w:rPr>
        <w:t xml:space="preserve"> </w:t>
      </w:r>
      <w:r w:rsidRPr="005B679D">
        <w:rPr>
          <w:rFonts w:ascii="Times New Roman" w:hAnsi="Times New Roman" w:cs="Times New Roman"/>
          <w:sz w:val="24"/>
          <w:szCs w:val="24"/>
        </w:rPr>
        <w:t>vastavusdeklaratsioon enne 26. maid 2022</w:t>
      </w:r>
      <w:r w:rsidR="00AB4C03" w:rsidRPr="005B679D">
        <w:rPr>
          <w:rFonts w:ascii="Times New Roman" w:hAnsi="Times New Roman" w:cs="Times New Roman"/>
          <w:sz w:val="24"/>
          <w:szCs w:val="24"/>
        </w:rPr>
        <w:t>,</w:t>
      </w:r>
      <w:r w:rsidRPr="005B679D">
        <w:rPr>
          <w:rFonts w:ascii="Times New Roman" w:hAnsi="Times New Roman" w:cs="Times New Roman"/>
          <w:sz w:val="24"/>
          <w:szCs w:val="24"/>
        </w:rPr>
        <w:t xml:space="preserve"> lõpeb üleminekuperiood </w:t>
      </w:r>
      <w:r w:rsidRPr="005B679D">
        <w:rPr>
          <w:rFonts w:ascii="Times New Roman" w:hAnsi="Times New Roman" w:cs="Times New Roman"/>
          <w:bCs/>
          <w:sz w:val="24"/>
          <w:szCs w:val="24"/>
        </w:rPr>
        <w:t>26. mail 2026</w:t>
      </w:r>
      <w:r w:rsidR="00E93F18" w:rsidRPr="005B679D">
        <w:rPr>
          <w:rFonts w:ascii="Times New Roman" w:hAnsi="Times New Roman" w:cs="Times New Roman"/>
          <w:bCs/>
          <w:sz w:val="24"/>
          <w:szCs w:val="24"/>
        </w:rPr>
        <w:t>.</w:t>
      </w:r>
    </w:p>
    <w:p w14:paraId="1889925D" w14:textId="77777777" w:rsidR="00E93F18" w:rsidRPr="005B679D" w:rsidRDefault="00143CA1" w:rsidP="000024CE">
      <w:pPr>
        <w:pStyle w:val="Loendilik"/>
        <w:spacing w:after="0"/>
        <w:jc w:val="both"/>
        <w:rPr>
          <w:rFonts w:ascii="Times New Roman" w:hAnsi="Times New Roman" w:cs="Times New Roman"/>
          <w:sz w:val="24"/>
          <w:szCs w:val="24"/>
        </w:rPr>
      </w:pPr>
      <w:r w:rsidRPr="005B679D">
        <w:rPr>
          <w:rFonts w:ascii="Times New Roman" w:hAnsi="Times New Roman" w:cs="Times New Roman"/>
          <w:sz w:val="24"/>
          <w:szCs w:val="24"/>
        </w:rPr>
        <w:t>K</w:t>
      </w:r>
      <w:r w:rsidR="00E93F18" w:rsidRPr="005B679D">
        <w:rPr>
          <w:rFonts w:ascii="Times New Roman" w:hAnsi="Times New Roman" w:cs="Times New Roman"/>
          <w:sz w:val="24"/>
          <w:szCs w:val="24"/>
        </w:rPr>
        <w:t xml:space="preserve">ui sellised seadmed lastakse turule enne 26. maid 2026 (ehk </w:t>
      </w:r>
      <w:r w:rsidR="00AB4C03" w:rsidRPr="005B679D">
        <w:rPr>
          <w:rFonts w:ascii="Times New Roman" w:hAnsi="Times New Roman" w:cs="Times New Roman"/>
          <w:sz w:val="24"/>
          <w:szCs w:val="24"/>
        </w:rPr>
        <w:t xml:space="preserve">tootja poolt </w:t>
      </w:r>
      <w:r w:rsidR="00E93F18" w:rsidRPr="005B679D">
        <w:rPr>
          <w:rFonts w:ascii="Times New Roman" w:hAnsi="Times New Roman" w:cs="Times New Roman"/>
          <w:sz w:val="24"/>
          <w:szCs w:val="24"/>
        </w:rPr>
        <w:t>sõlmitakse kellegagi müügileping), võib neid jätkuvalt kättesaadavaks teha või kasutusele võtta (artikkel 110 lg 4).</w:t>
      </w:r>
    </w:p>
    <w:p w14:paraId="70C0B1C1" w14:textId="77777777" w:rsidR="00143CA1" w:rsidRPr="005B679D" w:rsidRDefault="00143CA1" w:rsidP="000024CE">
      <w:pPr>
        <w:pStyle w:val="Loendilik"/>
        <w:spacing w:after="0"/>
        <w:jc w:val="both"/>
        <w:rPr>
          <w:rFonts w:ascii="Times New Roman" w:hAnsi="Times New Roman" w:cs="Times New Roman"/>
          <w:sz w:val="24"/>
          <w:szCs w:val="24"/>
        </w:rPr>
      </w:pPr>
    </w:p>
    <w:p w14:paraId="2B702D41" w14:textId="7E67F733" w:rsidR="00305FAE" w:rsidRPr="005B679D" w:rsidRDefault="000A6BA0" w:rsidP="000024CE">
      <w:pPr>
        <w:pStyle w:val="Loendilik"/>
        <w:numPr>
          <w:ilvl w:val="0"/>
          <w:numId w:val="3"/>
        </w:numPr>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Seadmete puhul, mis kuuluvad IVDR kohaselt </w:t>
      </w:r>
      <w:r w:rsidRPr="005B679D">
        <w:rPr>
          <w:rFonts w:ascii="Times New Roman" w:hAnsi="Times New Roman" w:cs="Times New Roman"/>
          <w:bCs/>
          <w:sz w:val="24"/>
          <w:szCs w:val="24"/>
        </w:rPr>
        <w:t>B-</w:t>
      </w:r>
      <w:r w:rsidR="00B16167" w:rsidRPr="005B679D">
        <w:rPr>
          <w:rFonts w:ascii="Times New Roman" w:hAnsi="Times New Roman" w:cs="Times New Roman"/>
          <w:bCs/>
          <w:sz w:val="24"/>
          <w:szCs w:val="24"/>
        </w:rPr>
        <w:t>klassi</w:t>
      </w:r>
      <w:r w:rsidRPr="005B679D">
        <w:rPr>
          <w:rFonts w:ascii="Times New Roman" w:hAnsi="Times New Roman" w:cs="Times New Roman"/>
          <w:bCs/>
          <w:sz w:val="24"/>
          <w:szCs w:val="24"/>
        </w:rPr>
        <w:t xml:space="preserve"> või </w:t>
      </w:r>
      <w:r w:rsidR="00B16167" w:rsidRPr="005B679D">
        <w:rPr>
          <w:rFonts w:ascii="Times New Roman" w:hAnsi="Times New Roman" w:cs="Times New Roman"/>
          <w:bCs/>
          <w:sz w:val="24"/>
          <w:szCs w:val="24"/>
        </w:rPr>
        <w:t xml:space="preserve">steriilsesse </w:t>
      </w:r>
      <w:r w:rsidRPr="005B679D">
        <w:rPr>
          <w:rFonts w:ascii="Times New Roman" w:hAnsi="Times New Roman" w:cs="Times New Roman"/>
          <w:bCs/>
          <w:sz w:val="24"/>
          <w:szCs w:val="24"/>
        </w:rPr>
        <w:t>A-klassi</w:t>
      </w:r>
      <w:r w:rsidRPr="005B679D">
        <w:rPr>
          <w:rFonts w:ascii="Times New Roman" w:hAnsi="Times New Roman" w:cs="Times New Roman"/>
          <w:sz w:val="24"/>
          <w:szCs w:val="24"/>
        </w:rPr>
        <w:t>,</w:t>
      </w:r>
      <w:r w:rsidR="00E93F18" w:rsidRPr="005B679D">
        <w:rPr>
          <w:rFonts w:ascii="Times New Roman" w:hAnsi="Times New Roman" w:cs="Times New Roman"/>
          <w:bCs/>
          <w:sz w:val="24"/>
          <w:szCs w:val="24"/>
        </w:rPr>
        <w:t xml:space="preserve"> </w:t>
      </w:r>
      <w:r w:rsidR="00B1424B" w:rsidRPr="005B679D">
        <w:rPr>
          <w:rFonts w:ascii="Times New Roman" w:hAnsi="Times New Roman" w:cs="Times New Roman"/>
          <w:bCs/>
          <w:sz w:val="24"/>
          <w:szCs w:val="24"/>
        </w:rPr>
        <w:t>kuid mille</w:t>
      </w:r>
      <w:r w:rsidR="00B1424B">
        <w:rPr>
          <w:rFonts w:ascii="Times New Roman" w:hAnsi="Times New Roman" w:cs="Times New Roman"/>
          <w:bCs/>
          <w:sz w:val="24"/>
          <w:szCs w:val="24"/>
        </w:rPr>
        <w:t>le</w:t>
      </w:r>
      <w:r w:rsidR="00B1424B" w:rsidRPr="005B679D">
        <w:rPr>
          <w:rFonts w:ascii="Times New Roman" w:hAnsi="Times New Roman" w:cs="Times New Roman"/>
          <w:bCs/>
          <w:sz w:val="24"/>
          <w:szCs w:val="24"/>
        </w:rPr>
        <w:t xml:space="preserve"> ei olnud nõutud ELi </w:t>
      </w:r>
      <w:r w:rsidR="00B1424B">
        <w:rPr>
          <w:rFonts w:ascii="Times New Roman" w:hAnsi="Times New Roman" w:cs="Times New Roman"/>
          <w:bCs/>
          <w:sz w:val="24"/>
          <w:szCs w:val="24"/>
        </w:rPr>
        <w:t xml:space="preserve">teavitatud asutuse </w:t>
      </w:r>
      <w:r w:rsidR="00B1424B" w:rsidRPr="005B679D">
        <w:rPr>
          <w:rFonts w:ascii="Times New Roman" w:hAnsi="Times New Roman" w:cs="Times New Roman"/>
          <w:bCs/>
          <w:sz w:val="24"/>
          <w:szCs w:val="24"/>
        </w:rPr>
        <w:t>vastavussertifikaat</w:t>
      </w:r>
      <w:r w:rsidR="00B1424B">
        <w:rPr>
          <w:rFonts w:ascii="Times New Roman" w:hAnsi="Times New Roman" w:cs="Times New Roman"/>
          <w:bCs/>
          <w:sz w:val="24"/>
          <w:szCs w:val="24"/>
        </w:rPr>
        <w:t>i</w:t>
      </w:r>
      <w:r w:rsidR="00B1424B" w:rsidRPr="004D0F4F">
        <w:rPr>
          <w:rFonts w:ascii="Times New Roman" w:hAnsi="Times New Roman" w:cs="Times New Roman"/>
          <w:bCs/>
          <w:sz w:val="24"/>
          <w:szCs w:val="24"/>
        </w:rPr>
        <w:t xml:space="preserve"> </w:t>
      </w:r>
      <w:r w:rsidR="00B1424B" w:rsidRPr="005B679D">
        <w:rPr>
          <w:rFonts w:ascii="Times New Roman" w:hAnsi="Times New Roman" w:cs="Times New Roman"/>
          <w:bCs/>
          <w:sz w:val="24"/>
          <w:szCs w:val="24"/>
        </w:rPr>
        <w:t>IVDD alusel,</w:t>
      </w:r>
      <w:r w:rsidR="00B1424B" w:rsidRPr="005B679D">
        <w:rPr>
          <w:rFonts w:ascii="Times New Roman" w:hAnsi="Times New Roman" w:cs="Times New Roman"/>
          <w:sz w:val="24"/>
          <w:szCs w:val="24"/>
        </w:rPr>
        <w:t xml:space="preserve"> ja mille kohta on koostatud </w:t>
      </w:r>
      <w:r w:rsidR="00B1424B">
        <w:rPr>
          <w:rFonts w:ascii="Times New Roman" w:hAnsi="Times New Roman" w:cs="Times New Roman"/>
          <w:sz w:val="24"/>
          <w:szCs w:val="24"/>
        </w:rPr>
        <w:t>tootja</w:t>
      </w:r>
      <w:r w:rsidR="00B1424B" w:rsidRPr="005B679D" w:rsidDel="00B1424B">
        <w:rPr>
          <w:rFonts w:ascii="Times New Roman" w:hAnsi="Times New Roman" w:cs="Times New Roman"/>
          <w:bCs/>
          <w:sz w:val="24"/>
          <w:szCs w:val="24"/>
        </w:rPr>
        <w:t xml:space="preserve"> </w:t>
      </w:r>
      <w:r w:rsidR="00E93F18" w:rsidRPr="005B679D">
        <w:rPr>
          <w:rFonts w:ascii="Times New Roman" w:hAnsi="Times New Roman" w:cs="Times New Roman"/>
          <w:sz w:val="24"/>
          <w:szCs w:val="24"/>
        </w:rPr>
        <w:t>vastavusdeklaratsioon enne 26. maid 2022</w:t>
      </w:r>
      <w:r w:rsidR="00AB4C03" w:rsidRPr="005B679D">
        <w:rPr>
          <w:rFonts w:ascii="Times New Roman" w:hAnsi="Times New Roman" w:cs="Times New Roman"/>
          <w:sz w:val="24"/>
          <w:szCs w:val="24"/>
        </w:rPr>
        <w:t xml:space="preserve">, </w:t>
      </w:r>
      <w:r w:rsidR="00E93F18" w:rsidRPr="005B679D">
        <w:rPr>
          <w:rFonts w:ascii="Times New Roman" w:hAnsi="Times New Roman" w:cs="Times New Roman"/>
          <w:sz w:val="24"/>
          <w:szCs w:val="24"/>
        </w:rPr>
        <w:t xml:space="preserve">lõpeb üleminekuperiood </w:t>
      </w:r>
      <w:r w:rsidR="00E93F18" w:rsidRPr="005B679D">
        <w:rPr>
          <w:rFonts w:ascii="Times New Roman" w:hAnsi="Times New Roman" w:cs="Times New Roman"/>
          <w:bCs/>
          <w:sz w:val="24"/>
          <w:szCs w:val="24"/>
        </w:rPr>
        <w:t>26. mail 2027</w:t>
      </w:r>
      <w:r w:rsidR="00690D4E" w:rsidRPr="005B679D">
        <w:rPr>
          <w:rFonts w:ascii="Times New Roman" w:hAnsi="Times New Roman" w:cs="Times New Roman"/>
          <w:sz w:val="24"/>
          <w:szCs w:val="24"/>
        </w:rPr>
        <w:t>.</w:t>
      </w:r>
    </w:p>
    <w:p w14:paraId="0984DF13" w14:textId="57FBD687" w:rsidR="00143CA1" w:rsidRDefault="00143CA1" w:rsidP="000024CE">
      <w:pPr>
        <w:pStyle w:val="Loendilik"/>
        <w:spacing w:after="0"/>
        <w:jc w:val="both"/>
        <w:rPr>
          <w:rFonts w:ascii="Times New Roman" w:hAnsi="Times New Roman" w:cs="Times New Roman"/>
          <w:sz w:val="24"/>
          <w:szCs w:val="24"/>
        </w:rPr>
      </w:pPr>
      <w:r w:rsidRPr="005B679D">
        <w:rPr>
          <w:rFonts w:ascii="Times New Roman" w:hAnsi="Times New Roman" w:cs="Times New Roman"/>
          <w:sz w:val="24"/>
          <w:szCs w:val="24"/>
        </w:rPr>
        <w:t>K</w:t>
      </w:r>
      <w:r w:rsidR="00E93F18" w:rsidRPr="005B679D">
        <w:rPr>
          <w:rFonts w:ascii="Times New Roman" w:hAnsi="Times New Roman" w:cs="Times New Roman"/>
          <w:sz w:val="24"/>
          <w:szCs w:val="24"/>
        </w:rPr>
        <w:t xml:space="preserve">ui sellised </w:t>
      </w:r>
      <w:r w:rsidRPr="005B679D">
        <w:rPr>
          <w:rFonts w:ascii="Times New Roman" w:hAnsi="Times New Roman" w:cs="Times New Roman"/>
          <w:sz w:val="24"/>
          <w:szCs w:val="24"/>
        </w:rPr>
        <w:t>seadmed lastakse turule enne 26. maid 202</w:t>
      </w:r>
      <w:r w:rsidR="00E93F18" w:rsidRPr="005B679D">
        <w:rPr>
          <w:rFonts w:ascii="Times New Roman" w:hAnsi="Times New Roman" w:cs="Times New Roman"/>
          <w:sz w:val="24"/>
          <w:szCs w:val="24"/>
        </w:rPr>
        <w:t>7</w:t>
      </w:r>
      <w:r w:rsidRPr="005B679D">
        <w:rPr>
          <w:rFonts w:ascii="Times New Roman" w:hAnsi="Times New Roman" w:cs="Times New Roman"/>
          <w:sz w:val="24"/>
          <w:szCs w:val="24"/>
        </w:rPr>
        <w:t xml:space="preserve"> (ehk sõlmitakse kellegagi müügileping), võib neid jätkuvalt kättesaadavaks teha </w:t>
      </w:r>
      <w:r w:rsidR="00E93F18" w:rsidRPr="005B679D">
        <w:rPr>
          <w:rFonts w:ascii="Times New Roman" w:hAnsi="Times New Roman" w:cs="Times New Roman"/>
          <w:sz w:val="24"/>
          <w:szCs w:val="24"/>
        </w:rPr>
        <w:t xml:space="preserve">või kasutusele võtta </w:t>
      </w:r>
      <w:r w:rsidRPr="005B679D">
        <w:rPr>
          <w:rFonts w:ascii="Times New Roman" w:hAnsi="Times New Roman" w:cs="Times New Roman"/>
          <w:sz w:val="24"/>
          <w:szCs w:val="24"/>
        </w:rPr>
        <w:t>(artikkel 110 lg 4).</w:t>
      </w:r>
    </w:p>
    <w:p w14:paraId="749F67FC" w14:textId="77777777" w:rsidR="00963A76" w:rsidRDefault="00963A76" w:rsidP="000024CE">
      <w:pPr>
        <w:pStyle w:val="Loendilik"/>
        <w:spacing w:after="0"/>
        <w:jc w:val="both"/>
        <w:rPr>
          <w:rFonts w:ascii="Times New Roman" w:hAnsi="Times New Roman" w:cs="Times New Roman"/>
          <w:sz w:val="18"/>
          <w:szCs w:val="18"/>
        </w:rPr>
      </w:pPr>
    </w:p>
    <w:p w14:paraId="10301173" w14:textId="77777777" w:rsidR="00963A76" w:rsidRDefault="00963A76" w:rsidP="000024CE">
      <w:pPr>
        <w:pStyle w:val="Loendilik"/>
        <w:spacing w:after="0"/>
        <w:jc w:val="both"/>
        <w:rPr>
          <w:rFonts w:ascii="Times New Roman" w:hAnsi="Times New Roman" w:cs="Times New Roman"/>
          <w:sz w:val="18"/>
          <w:szCs w:val="18"/>
        </w:rPr>
      </w:pPr>
    </w:p>
    <w:p w14:paraId="7361E59C" w14:textId="60786677" w:rsidR="00963A76" w:rsidRDefault="00963A76" w:rsidP="00963A76">
      <w:pPr>
        <w:pStyle w:val="Loendilik"/>
        <w:pBdr>
          <w:top w:val="single" w:sz="4" w:space="1" w:color="auto"/>
        </w:pBdr>
        <w:spacing w:after="0"/>
        <w:jc w:val="both"/>
        <w:rPr>
          <w:rFonts w:ascii="Times New Roman" w:hAnsi="Times New Roman" w:cs="Times New Roman"/>
          <w:sz w:val="24"/>
          <w:szCs w:val="24"/>
        </w:rPr>
      </w:pPr>
      <w:r>
        <w:rPr>
          <w:rFonts w:ascii="Times New Roman" w:hAnsi="Times New Roman" w:cs="Times New Roman"/>
          <w:sz w:val="18"/>
          <w:szCs w:val="18"/>
          <w:vertAlign w:val="superscript"/>
        </w:rPr>
        <w:t xml:space="preserve">1 </w:t>
      </w:r>
      <w:r>
        <w:rPr>
          <w:rFonts w:ascii="Times New Roman" w:hAnsi="Times New Roman" w:cs="Times New Roman"/>
          <w:sz w:val="18"/>
          <w:szCs w:val="18"/>
        </w:rPr>
        <w:t xml:space="preserve">Meditsiiniseadmete klassifitseerimise juhendmaterjal </w:t>
      </w:r>
      <w:hyperlink r:id="rId12" w:history="1">
        <w:r w:rsidR="005F6FA6" w:rsidRPr="005F6FA6">
          <w:rPr>
            <w:rStyle w:val="Hperlink"/>
            <w:rFonts w:ascii="Times New Roman" w:hAnsi="Times New Roman" w:cs="Times New Roman"/>
            <w:sz w:val="18"/>
            <w:szCs w:val="18"/>
          </w:rPr>
          <w:t>MDCG 2020-16</w:t>
        </w:r>
      </w:hyperlink>
    </w:p>
    <w:p w14:paraId="2F770552" w14:textId="77777777" w:rsidR="00933DB7" w:rsidRPr="005B679D" w:rsidRDefault="000A6BA0" w:rsidP="000024CE">
      <w:pPr>
        <w:pStyle w:val="Loendilik"/>
        <w:numPr>
          <w:ilvl w:val="0"/>
          <w:numId w:val="3"/>
        </w:numPr>
        <w:spacing w:after="0"/>
        <w:jc w:val="both"/>
        <w:rPr>
          <w:rFonts w:ascii="Times New Roman" w:hAnsi="Times New Roman" w:cs="Times New Roman"/>
          <w:sz w:val="24"/>
          <w:szCs w:val="24"/>
        </w:rPr>
      </w:pPr>
      <w:r w:rsidRPr="005B679D">
        <w:rPr>
          <w:rFonts w:ascii="Times New Roman" w:hAnsi="Times New Roman" w:cs="Times New Roman"/>
          <w:sz w:val="24"/>
          <w:szCs w:val="24"/>
        </w:rPr>
        <w:lastRenderedPageBreak/>
        <w:t xml:space="preserve">Alates 26. maist 2022 </w:t>
      </w:r>
      <w:r w:rsidR="00B1424B" w:rsidRPr="005B679D">
        <w:rPr>
          <w:rFonts w:ascii="Times New Roman" w:hAnsi="Times New Roman" w:cs="Times New Roman"/>
          <w:sz w:val="24"/>
          <w:szCs w:val="24"/>
        </w:rPr>
        <w:t xml:space="preserve">peavad </w:t>
      </w:r>
      <w:r w:rsidRPr="005B679D">
        <w:rPr>
          <w:rFonts w:ascii="Times New Roman" w:hAnsi="Times New Roman" w:cs="Times New Roman"/>
          <w:bCs/>
          <w:sz w:val="24"/>
          <w:szCs w:val="24"/>
        </w:rPr>
        <w:t>A-klassi mittesteriilsed seadmed</w:t>
      </w:r>
      <w:r w:rsidRPr="005B679D">
        <w:rPr>
          <w:rFonts w:ascii="Times New Roman" w:hAnsi="Times New Roman" w:cs="Times New Roman"/>
          <w:sz w:val="24"/>
          <w:szCs w:val="24"/>
        </w:rPr>
        <w:t xml:space="preserve"> olema lastud turule vastavalt </w:t>
      </w:r>
      <w:proofErr w:type="spellStart"/>
      <w:r w:rsidRPr="005B679D">
        <w:rPr>
          <w:rFonts w:ascii="Times New Roman" w:hAnsi="Times New Roman" w:cs="Times New Roman"/>
          <w:sz w:val="24"/>
          <w:szCs w:val="24"/>
        </w:rPr>
        <w:t>IVDRi</w:t>
      </w:r>
      <w:proofErr w:type="spellEnd"/>
      <w:r w:rsidRPr="005B679D">
        <w:rPr>
          <w:rFonts w:ascii="Times New Roman" w:hAnsi="Times New Roman" w:cs="Times New Roman"/>
          <w:sz w:val="24"/>
          <w:szCs w:val="24"/>
        </w:rPr>
        <w:t xml:space="preserve"> nõuetele. </w:t>
      </w:r>
    </w:p>
    <w:p w14:paraId="0413DED4" w14:textId="5FDC8201" w:rsidR="00143CA1" w:rsidRDefault="000424E7" w:rsidP="000024CE">
      <w:pPr>
        <w:pStyle w:val="Loendilik"/>
        <w:spacing w:after="0"/>
        <w:ind w:left="709"/>
        <w:jc w:val="both"/>
        <w:rPr>
          <w:rFonts w:ascii="Times New Roman" w:hAnsi="Times New Roman" w:cs="Times New Roman"/>
          <w:sz w:val="24"/>
          <w:szCs w:val="24"/>
        </w:rPr>
      </w:pPr>
      <w:r w:rsidRPr="005B679D">
        <w:rPr>
          <w:rFonts w:ascii="Times New Roman" w:hAnsi="Times New Roman" w:cs="Times New Roman"/>
          <w:sz w:val="24"/>
          <w:szCs w:val="24"/>
        </w:rPr>
        <w:t>Kõiki selliseid  seadmeid, mis lasti turule enne 26. mai 2022 kooskõlas IVDD nõuetega, võib jätkuvalt teha turul kättesaadavaks. St</w:t>
      </w:r>
      <w:r w:rsidR="00B1424B">
        <w:rPr>
          <w:rFonts w:ascii="Times New Roman" w:hAnsi="Times New Roman" w:cs="Times New Roman"/>
          <w:sz w:val="24"/>
          <w:szCs w:val="24"/>
        </w:rPr>
        <w:t>.</w:t>
      </w:r>
      <w:r w:rsidRPr="005B679D">
        <w:rPr>
          <w:rFonts w:ascii="Times New Roman" w:hAnsi="Times New Roman" w:cs="Times New Roman"/>
          <w:sz w:val="24"/>
          <w:szCs w:val="24"/>
        </w:rPr>
        <w:t xml:space="preserve"> kui selline seade on enne 26. mai</w:t>
      </w:r>
      <w:r w:rsidR="00B1424B">
        <w:rPr>
          <w:rFonts w:ascii="Times New Roman" w:hAnsi="Times New Roman" w:cs="Times New Roman"/>
          <w:sz w:val="24"/>
          <w:szCs w:val="24"/>
        </w:rPr>
        <w:t>d</w:t>
      </w:r>
      <w:r w:rsidRPr="005B679D">
        <w:rPr>
          <w:rFonts w:ascii="Times New Roman" w:hAnsi="Times New Roman" w:cs="Times New Roman"/>
          <w:sz w:val="24"/>
          <w:szCs w:val="24"/>
        </w:rPr>
        <w:t xml:space="preserve"> 2022 jõudnud juba tarneahelasse/kasutaja kätte, siis võib need </w:t>
      </w:r>
      <w:r w:rsidR="00933DB7" w:rsidRPr="005B679D">
        <w:rPr>
          <w:rFonts w:ascii="Times New Roman" w:hAnsi="Times New Roman" w:cs="Times New Roman"/>
          <w:sz w:val="24"/>
          <w:szCs w:val="24"/>
        </w:rPr>
        <w:t>ära müü</w:t>
      </w:r>
      <w:r w:rsidR="00A96663" w:rsidRPr="005B679D">
        <w:rPr>
          <w:rFonts w:ascii="Times New Roman" w:hAnsi="Times New Roman" w:cs="Times New Roman"/>
          <w:sz w:val="24"/>
          <w:szCs w:val="24"/>
        </w:rPr>
        <w:t>a</w:t>
      </w:r>
      <w:r w:rsidR="00933DB7" w:rsidRPr="005B679D">
        <w:rPr>
          <w:rFonts w:ascii="Times New Roman" w:hAnsi="Times New Roman" w:cs="Times New Roman"/>
          <w:sz w:val="24"/>
          <w:szCs w:val="24"/>
        </w:rPr>
        <w:t>/kasutada.</w:t>
      </w:r>
    </w:p>
    <w:p w14:paraId="297437CE" w14:textId="77777777" w:rsidR="00963A76" w:rsidRPr="005B679D" w:rsidRDefault="00963A76" w:rsidP="000024CE">
      <w:pPr>
        <w:pStyle w:val="Loendilik"/>
        <w:spacing w:after="0"/>
        <w:ind w:left="709"/>
        <w:jc w:val="both"/>
        <w:rPr>
          <w:rFonts w:ascii="Times New Roman" w:hAnsi="Times New Roman" w:cs="Times New Roman"/>
          <w:sz w:val="24"/>
          <w:szCs w:val="24"/>
        </w:rPr>
      </w:pPr>
    </w:p>
    <w:p w14:paraId="09581BCC" w14:textId="75BC99C5" w:rsidR="00305FAE" w:rsidRDefault="000A6BA0" w:rsidP="000024CE">
      <w:pPr>
        <w:spacing w:after="0"/>
        <w:jc w:val="both"/>
        <w:rPr>
          <w:rFonts w:ascii="Times New Roman" w:hAnsi="Times New Roman" w:cs="Times New Roman"/>
          <w:sz w:val="24"/>
          <w:szCs w:val="24"/>
        </w:rPr>
      </w:pPr>
      <w:r w:rsidRPr="005B679D">
        <w:rPr>
          <w:rFonts w:ascii="Times New Roman" w:hAnsi="Times New Roman" w:cs="Times New Roman"/>
          <w:sz w:val="24"/>
          <w:szCs w:val="24"/>
        </w:rPr>
        <w:t>Kuna turule laskmise, kättesaadavaks tegemise ning ka kasutuselevõtu mõisted käivad iga üksiku toote</w:t>
      </w:r>
      <w:r w:rsidR="00143CA1" w:rsidRPr="005B679D">
        <w:rPr>
          <w:rFonts w:ascii="Times New Roman" w:hAnsi="Times New Roman" w:cs="Times New Roman"/>
          <w:sz w:val="24"/>
          <w:szCs w:val="24"/>
        </w:rPr>
        <w:t xml:space="preserve"> (nt reaktiivi karbi)</w:t>
      </w:r>
      <w:r w:rsidRPr="005B679D">
        <w:rPr>
          <w:rFonts w:ascii="Times New Roman" w:hAnsi="Times New Roman" w:cs="Times New Roman"/>
          <w:sz w:val="24"/>
          <w:szCs w:val="24"/>
        </w:rPr>
        <w:t xml:space="preserve"> kohta, siis samast </w:t>
      </w:r>
      <w:r w:rsidR="00A86D2B" w:rsidRPr="005B679D">
        <w:rPr>
          <w:rFonts w:ascii="Times New Roman" w:hAnsi="Times New Roman" w:cs="Times New Roman"/>
          <w:sz w:val="24"/>
          <w:szCs w:val="24"/>
        </w:rPr>
        <w:t>partiist</w:t>
      </w:r>
      <w:r w:rsidRPr="005B679D">
        <w:rPr>
          <w:rFonts w:ascii="Times New Roman" w:hAnsi="Times New Roman" w:cs="Times New Roman"/>
          <w:sz w:val="24"/>
          <w:szCs w:val="24"/>
        </w:rPr>
        <w:t xml:space="preserve"> ja samal kuupäeval toodetud seade võib olla turul nii vana, kui ka pärandseadmena</w:t>
      </w:r>
      <w:r w:rsidR="00143CA1" w:rsidRPr="005B679D">
        <w:rPr>
          <w:rFonts w:ascii="Times New Roman" w:hAnsi="Times New Roman" w:cs="Times New Roman"/>
          <w:sz w:val="24"/>
          <w:szCs w:val="24"/>
        </w:rPr>
        <w:t xml:space="preserve"> (oleneb, kas konkreet</w:t>
      </w:r>
      <w:r w:rsidR="00EE5515">
        <w:rPr>
          <w:rFonts w:ascii="Times New Roman" w:hAnsi="Times New Roman" w:cs="Times New Roman"/>
          <w:sz w:val="24"/>
          <w:szCs w:val="24"/>
        </w:rPr>
        <w:t>set</w:t>
      </w:r>
      <w:r w:rsidR="00143CA1" w:rsidRPr="005B679D">
        <w:rPr>
          <w:rFonts w:ascii="Times New Roman" w:hAnsi="Times New Roman" w:cs="Times New Roman"/>
          <w:sz w:val="24"/>
          <w:szCs w:val="24"/>
        </w:rPr>
        <w:t xml:space="preserve"> seade</w:t>
      </w:r>
      <w:r w:rsidR="00EE5515">
        <w:rPr>
          <w:rFonts w:ascii="Times New Roman" w:hAnsi="Times New Roman" w:cs="Times New Roman"/>
          <w:sz w:val="24"/>
          <w:szCs w:val="24"/>
        </w:rPr>
        <w:t>t müüakse</w:t>
      </w:r>
      <w:r w:rsidR="00143CA1" w:rsidRPr="005B679D">
        <w:rPr>
          <w:rFonts w:ascii="Times New Roman" w:hAnsi="Times New Roman" w:cs="Times New Roman"/>
          <w:sz w:val="24"/>
          <w:szCs w:val="24"/>
        </w:rPr>
        <w:t xml:space="preserve"> mingi müügilepingu al</w:t>
      </w:r>
      <w:r w:rsidR="00EE5515">
        <w:rPr>
          <w:rFonts w:ascii="Times New Roman" w:hAnsi="Times New Roman" w:cs="Times New Roman"/>
          <w:sz w:val="24"/>
          <w:szCs w:val="24"/>
        </w:rPr>
        <w:t>usel</w:t>
      </w:r>
      <w:r w:rsidR="00143CA1" w:rsidRPr="005B679D">
        <w:rPr>
          <w:rFonts w:ascii="Times New Roman" w:hAnsi="Times New Roman" w:cs="Times New Roman"/>
          <w:sz w:val="24"/>
          <w:szCs w:val="24"/>
        </w:rPr>
        <w:t xml:space="preserve"> või mitte. </w:t>
      </w:r>
      <w:r w:rsidR="00EE5515">
        <w:rPr>
          <w:rFonts w:ascii="Times New Roman" w:hAnsi="Times New Roman" w:cs="Times New Roman"/>
          <w:sz w:val="24"/>
          <w:szCs w:val="24"/>
        </w:rPr>
        <w:t>S</w:t>
      </w:r>
      <w:r w:rsidR="00143CA1" w:rsidRPr="005B679D">
        <w:rPr>
          <w:rFonts w:ascii="Times New Roman" w:hAnsi="Times New Roman" w:cs="Times New Roman"/>
          <w:sz w:val="24"/>
          <w:szCs w:val="24"/>
        </w:rPr>
        <w:t>eetõttu või</w:t>
      </w:r>
      <w:r w:rsidR="00EE5515">
        <w:rPr>
          <w:rFonts w:ascii="Times New Roman" w:hAnsi="Times New Roman" w:cs="Times New Roman"/>
          <w:sz w:val="24"/>
          <w:szCs w:val="24"/>
        </w:rPr>
        <w:t>b</w:t>
      </w:r>
      <w:r w:rsidR="00143CA1" w:rsidRPr="005B679D">
        <w:rPr>
          <w:rFonts w:ascii="Times New Roman" w:hAnsi="Times New Roman" w:cs="Times New Roman"/>
          <w:sz w:val="24"/>
          <w:szCs w:val="24"/>
        </w:rPr>
        <w:t xml:space="preserve"> tootja laos olev sama too</w:t>
      </w:r>
      <w:r w:rsidR="00EE5515">
        <w:rPr>
          <w:rFonts w:ascii="Times New Roman" w:hAnsi="Times New Roman" w:cs="Times New Roman"/>
          <w:sz w:val="24"/>
          <w:szCs w:val="24"/>
        </w:rPr>
        <w:t>de</w:t>
      </w:r>
      <w:r w:rsidR="00143CA1" w:rsidRPr="005B679D">
        <w:rPr>
          <w:rFonts w:ascii="Times New Roman" w:hAnsi="Times New Roman" w:cs="Times New Roman"/>
          <w:sz w:val="24"/>
          <w:szCs w:val="24"/>
        </w:rPr>
        <w:t xml:space="preserve"> olla </w:t>
      </w:r>
      <w:r w:rsidR="00EE5515">
        <w:rPr>
          <w:rFonts w:ascii="Times New Roman" w:hAnsi="Times New Roman" w:cs="Times New Roman"/>
          <w:sz w:val="24"/>
          <w:szCs w:val="24"/>
        </w:rPr>
        <w:t xml:space="preserve">kahes </w:t>
      </w:r>
      <w:r w:rsidR="00143CA1" w:rsidRPr="005B679D">
        <w:rPr>
          <w:rFonts w:ascii="Times New Roman" w:hAnsi="Times New Roman" w:cs="Times New Roman"/>
          <w:sz w:val="24"/>
          <w:szCs w:val="24"/>
        </w:rPr>
        <w:t>erinevas staatuses).</w:t>
      </w:r>
      <w:r w:rsidRPr="005B679D">
        <w:rPr>
          <w:rFonts w:ascii="Times New Roman" w:hAnsi="Times New Roman" w:cs="Times New Roman"/>
          <w:sz w:val="24"/>
          <w:szCs w:val="24"/>
        </w:rPr>
        <w:t xml:space="preserve"> Seda juhul, kui vana ja pärandseade on lastud turule või võetud kasutusele vastavalt kas </w:t>
      </w:r>
      <w:r w:rsidRPr="006A1D0F">
        <w:rPr>
          <w:rFonts w:ascii="Times New Roman" w:hAnsi="Times New Roman" w:cs="Times New Roman"/>
          <w:sz w:val="24"/>
          <w:szCs w:val="24"/>
        </w:rPr>
        <w:t>enne või pärast määruse kohaldamise kuupäeva 26. mai</w:t>
      </w:r>
      <w:r w:rsidR="00EE5515" w:rsidRPr="006A1D0F">
        <w:rPr>
          <w:rFonts w:ascii="Times New Roman" w:hAnsi="Times New Roman" w:cs="Times New Roman"/>
          <w:sz w:val="24"/>
          <w:szCs w:val="24"/>
        </w:rPr>
        <w:t>l</w:t>
      </w:r>
      <w:r w:rsidRPr="006A1D0F">
        <w:rPr>
          <w:rFonts w:ascii="Times New Roman" w:hAnsi="Times New Roman" w:cs="Times New Roman"/>
          <w:sz w:val="24"/>
          <w:szCs w:val="24"/>
        </w:rPr>
        <w:t xml:space="preserve"> 2022.</w:t>
      </w:r>
    </w:p>
    <w:p w14:paraId="5F63FEAB" w14:textId="77777777" w:rsidR="00963A76" w:rsidRPr="006A1D0F" w:rsidRDefault="00963A76" w:rsidP="000024CE">
      <w:pPr>
        <w:spacing w:after="0"/>
        <w:jc w:val="both"/>
        <w:rPr>
          <w:rFonts w:ascii="Times New Roman" w:hAnsi="Times New Roman" w:cs="Times New Roman"/>
          <w:sz w:val="24"/>
          <w:szCs w:val="24"/>
        </w:rPr>
      </w:pPr>
    </w:p>
    <w:p w14:paraId="142F1E1B" w14:textId="5EA51EBB" w:rsidR="00305FAE" w:rsidRPr="005B679D" w:rsidRDefault="000A6BA0" w:rsidP="000024CE">
      <w:pPr>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Pärandseadet on võimalik lasta turule pärast </w:t>
      </w:r>
      <w:proofErr w:type="spellStart"/>
      <w:r w:rsidRPr="005B679D">
        <w:rPr>
          <w:rFonts w:ascii="Times New Roman" w:hAnsi="Times New Roman" w:cs="Times New Roman"/>
          <w:sz w:val="24"/>
          <w:szCs w:val="24"/>
        </w:rPr>
        <w:t>IVDRi</w:t>
      </w:r>
      <w:proofErr w:type="spellEnd"/>
      <w:r w:rsidRPr="005B679D">
        <w:rPr>
          <w:rFonts w:ascii="Times New Roman" w:hAnsi="Times New Roman" w:cs="Times New Roman"/>
          <w:sz w:val="24"/>
          <w:szCs w:val="24"/>
        </w:rPr>
        <w:t xml:space="preserve"> kohaldamise kuupäeva (s.o pärast 26. maid 2022) juhul, kui täidetud kõik järgmised tingimuse</w:t>
      </w:r>
      <w:r w:rsidR="008F1866">
        <w:rPr>
          <w:rFonts w:ascii="Times New Roman" w:hAnsi="Times New Roman" w:cs="Times New Roman"/>
          <w:sz w:val="24"/>
          <w:szCs w:val="24"/>
        </w:rPr>
        <w:t>d</w:t>
      </w:r>
      <w:r w:rsidRPr="005B679D">
        <w:rPr>
          <w:rFonts w:ascii="Times New Roman" w:hAnsi="Times New Roman" w:cs="Times New Roman"/>
          <w:sz w:val="24"/>
          <w:szCs w:val="24"/>
        </w:rPr>
        <w:t>:</w:t>
      </w:r>
    </w:p>
    <w:p w14:paraId="6EA29FBD" w14:textId="77777777" w:rsidR="00305FAE" w:rsidRPr="005B679D" w:rsidRDefault="007B5FE6" w:rsidP="000024CE">
      <w:pPr>
        <w:pStyle w:val="Loendilik"/>
        <w:numPr>
          <w:ilvl w:val="0"/>
          <w:numId w:val="5"/>
        </w:numPr>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IVDD </w:t>
      </w:r>
      <w:r w:rsidR="00A96663" w:rsidRPr="005B679D">
        <w:rPr>
          <w:rFonts w:ascii="Times New Roman" w:hAnsi="Times New Roman" w:cs="Times New Roman"/>
          <w:sz w:val="24"/>
          <w:szCs w:val="24"/>
        </w:rPr>
        <w:t>ELi vastavus</w:t>
      </w:r>
      <w:r w:rsidRPr="005B679D">
        <w:rPr>
          <w:rFonts w:ascii="Times New Roman" w:hAnsi="Times New Roman" w:cs="Times New Roman"/>
          <w:sz w:val="24"/>
          <w:szCs w:val="24"/>
        </w:rPr>
        <w:t xml:space="preserve">sertifikaadiga seadmete (k.a. juhul kui IVDR  nõuab teavitatud asutuse kaasamist) </w:t>
      </w:r>
      <w:r w:rsidR="000A6BA0" w:rsidRPr="005B679D">
        <w:rPr>
          <w:rFonts w:ascii="Times New Roman" w:hAnsi="Times New Roman" w:cs="Times New Roman"/>
          <w:sz w:val="24"/>
          <w:szCs w:val="24"/>
        </w:rPr>
        <w:t>puhul</w:t>
      </w:r>
      <w:r w:rsidRPr="005B679D">
        <w:rPr>
          <w:rFonts w:ascii="Times New Roman" w:hAnsi="Times New Roman" w:cs="Times New Roman"/>
          <w:sz w:val="24"/>
          <w:szCs w:val="24"/>
        </w:rPr>
        <w:t xml:space="preserve"> on</w:t>
      </w:r>
      <w:r w:rsidR="000A6BA0" w:rsidRPr="005B679D">
        <w:rPr>
          <w:rFonts w:ascii="Times New Roman" w:hAnsi="Times New Roman" w:cs="Times New Roman"/>
          <w:sz w:val="24"/>
          <w:szCs w:val="24"/>
        </w:rPr>
        <w:t xml:space="preserve"> ELi vastavussertifikaat koostatud enne 26. maid 2022; </w:t>
      </w:r>
    </w:p>
    <w:p w14:paraId="6FD6FCC2" w14:textId="77777777" w:rsidR="00305FAE" w:rsidRPr="005B679D" w:rsidRDefault="000A6BA0" w:rsidP="000024CE">
      <w:pPr>
        <w:pStyle w:val="Loendilik"/>
        <w:numPr>
          <w:ilvl w:val="0"/>
          <w:numId w:val="5"/>
        </w:numPr>
        <w:spacing w:after="0"/>
        <w:jc w:val="both"/>
        <w:rPr>
          <w:rFonts w:ascii="Times New Roman" w:hAnsi="Times New Roman" w:cs="Times New Roman"/>
          <w:sz w:val="24"/>
          <w:szCs w:val="24"/>
        </w:rPr>
      </w:pPr>
      <w:r w:rsidRPr="005B679D">
        <w:rPr>
          <w:rFonts w:ascii="Times New Roman" w:hAnsi="Times New Roman" w:cs="Times New Roman"/>
          <w:sz w:val="24"/>
          <w:szCs w:val="24"/>
        </w:rPr>
        <w:t>ei ole olulisi muudatusi seadme kujunduses ja kavandatud otstarbes (vt. juhendmaterjal MDCG 2022-6);</w:t>
      </w:r>
    </w:p>
    <w:p w14:paraId="25AB9C48" w14:textId="77777777" w:rsidR="00305FAE" w:rsidRPr="005B679D" w:rsidRDefault="000A6BA0" w:rsidP="000024CE">
      <w:pPr>
        <w:pStyle w:val="Loendilik"/>
        <w:numPr>
          <w:ilvl w:val="0"/>
          <w:numId w:val="5"/>
        </w:numPr>
        <w:spacing w:after="0"/>
        <w:jc w:val="both"/>
        <w:rPr>
          <w:rFonts w:ascii="Times New Roman" w:hAnsi="Times New Roman" w:cs="Times New Roman"/>
          <w:sz w:val="24"/>
          <w:szCs w:val="24"/>
        </w:rPr>
      </w:pPr>
      <w:r w:rsidRPr="005B679D">
        <w:rPr>
          <w:rFonts w:ascii="Times New Roman" w:hAnsi="Times New Roman" w:cs="Times New Roman"/>
          <w:sz w:val="24"/>
          <w:szCs w:val="24"/>
        </w:rPr>
        <w:t xml:space="preserve">on täidetud </w:t>
      </w:r>
      <w:proofErr w:type="spellStart"/>
      <w:r w:rsidRPr="005B679D">
        <w:rPr>
          <w:rFonts w:ascii="Times New Roman" w:hAnsi="Times New Roman" w:cs="Times New Roman"/>
          <w:sz w:val="24"/>
          <w:szCs w:val="24"/>
        </w:rPr>
        <w:t>IVDRi</w:t>
      </w:r>
      <w:proofErr w:type="spellEnd"/>
      <w:r w:rsidRPr="005B679D">
        <w:rPr>
          <w:rFonts w:ascii="Times New Roman" w:hAnsi="Times New Roman" w:cs="Times New Roman"/>
          <w:sz w:val="24"/>
          <w:szCs w:val="24"/>
        </w:rPr>
        <w:t xml:space="preserve"> nõuded turustamisjärgse järelevalve, järelevalve ja turujärelevalve kohta ning ettevõtjate ja seadmete registreerimise kohta (vt. juhendmaterjal MDCG 2022-8).</w:t>
      </w:r>
    </w:p>
    <w:p w14:paraId="43974F19" w14:textId="77777777" w:rsidR="007B5FE6" w:rsidRPr="005B679D" w:rsidRDefault="007B5FE6" w:rsidP="000024CE">
      <w:pPr>
        <w:pStyle w:val="Loendilik"/>
        <w:spacing w:after="0"/>
        <w:jc w:val="both"/>
        <w:rPr>
          <w:rFonts w:ascii="Times New Roman" w:hAnsi="Times New Roman" w:cs="Times New Roman"/>
          <w:sz w:val="24"/>
          <w:szCs w:val="24"/>
        </w:rPr>
      </w:pPr>
    </w:p>
    <w:p w14:paraId="1EC23CDD" w14:textId="77777777" w:rsidR="00305FAE" w:rsidRPr="005B679D" w:rsidRDefault="000A6BA0" w:rsidP="000024CE">
      <w:pPr>
        <w:pStyle w:val="Pealkiri1"/>
        <w:numPr>
          <w:ilvl w:val="0"/>
          <w:numId w:val="4"/>
        </w:numPr>
        <w:spacing w:before="0"/>
        <w:jc w:val="both"/>
        <w:rPr>
          <w:rFonts w:ascii="Times New Roman" w:hAnsi="Times New Roman" w:cs="Times New Roman"/>
          <w:b/>
          <w:color w:val="auto"/>
          <w:sz w:val="24"/>
          <w:szCs w:val="24"/>
        </w:rPr>
      </w:pPr>
      <w:bookmarkStart w:id="3" w:name="_Toc163656445"/>
      <w:r w:rsidRPr="005B679D">
        <w:rPr>
          <w:rFonts w:ascii="Times New Roman" w:hAnsi="Times New Roman" w:cs="Times New Roman"/>
          <w:b/>
          <w:color w:val="auto"/>
          <w:sz w:val="24"/>
          <w:szCs w:val="24"/>
        </w:rPr>
        <w:t>Üleminekuperioodil kasutatavate seadmete hanked</w:t>
      </w:r>
      <w:bookmarkEnd w:id="3"/>
    </w:p>
    <w:p w14:paraId="1CA5A867" w14:textId="77777777" w:rsidR="003C0AE6" w:rsidRPr="005B679D" w:rsidRDefault="000A6BA0" w:rsidP="000024CE">
      <w:pPr>
        <w:pStyle w:val="Normaallaadveeb"/>
        <w:spacing w:beforeAutospacing="0" w:after="0" w:line="259" w:lineRule="auto"/>
        <w:jc w:val="both"/>
      </w:pPr>
      <w:r w:rsidRPr="005B679D">
        <w:t xml:space="preserve">Kuna uus määrus </w:t>
      </w:r>
      <w:r w:rsidR="00E077F6">
        <w:t>rakendus</w:t>
      </w:r>
      <w:r w:rsidRPr="005B679D">
        <w:t xml:space="preserve"> 26. mai</w:t>
      </w:r>
      <w:r w:rsidR="00EE5515">
        <w:t>l</w:t>
      </w:r>
      <w:r w:rsidRPr="005B679D">
        <w:t xml:space="preserve"> 2022, kuid IVDR määruse alusel toodetud diagnostikameditsiiniseadmeid on turul vähe, siis on raske leida korrektset sõnastust hangete tegemisel tagamaks se</w:t>
      </w:r>
      <w:r w:rsidR="00772338" w:rsidRPr="005B679D">
        <w:t>da</w:t>
      </w:r>
      <w:r w:rsidRPr="005B679D">
        <w:t xml:space="preserve">, et </w:t>
      </w:r>
      <w:r w:rsidR="00334E91" w:rsidRPr="005B679D">
        <w:t xml:space="preserve">kogu </w:t>
      </w:r>
      <w:r w:rsidRPr="005B679D">
        <w:t>hankeperioodi jooksul oleks tagatud määruse nõuded. Samas</w:t>
      </w:r>
      <w:r w:rsidR="00EE5515">
        <w:t>,</w:t>
      </w:r>
      <w:r w:rsidRPr="005B679D">
        <w:t xml:space="preserve"> IVDR määrus viitab konkreetsele ajagraafikule eri riskiklasside osas (määrus 2022/112), millal tuleb üle minna uue määruse alusel toodetud diagnostikameditsiiniseadmetele. </w:t>
      </w:r>
    </w:p>
    <w:p w14:paraId="1A3A4126" w14:textId="19498057" w:rsidR="00305FAE" w:rsidRDefault="000A6BA0" w:rsidP="000024CE">
      <w:pPr>
        <w:pStyle w:val="Normaallaadveeb"/>
        <w:spacing w:beforeAutospacing="0" w:after="0" w:line="259" w:lineRule="auto"/>
        <w:jc w:val="both"/>
        <w:rPr>
          <w:bCs/>
        </w:rPr>
      </w:pPr>
      <w:r w:rsidRPr="006A1D0F">
        <w:rPr>
          <w:bCs/>
        </w:rPr>
        <w:t>Soovitatud sõnastu</w:t>
      </w:r>
      <w:r w:rsidR="00772338" w:rsidRPr="006A1D0F">
        <w:rPr>
          <w:bCs/>
        </w:rPr>
        <w:t>s</w:t>
      </w:r>
      <w:r w:rsidRPr="006A1D0F">
        <w:rPr>
          <w:bCs/>
        </w:rPr>
        <w:t xml:space="preserve"> </w:t>
      </w:r>
      <w:r w:rsidR="00DF0A39" w:rsidRPr="006A1D0F">
        <w:rPr>
          <w:bCs/>
        </w:rPr>
        <w:t xml:space="preserve">riigihangete nõuetes </w:t>
      </w:r>
      <w:r w:rsidRPr="006A1D0F">
        <w:rPr>
          <w:bCs/>
        </w:rPr>
        <w:t>on sellest tulenevalt järgnev:</w:t>
      </w:r>
      <w:r w:rsidRPr="006A1D0F">
        <w:rPr>
          <w:bCs/>
        </w:rPr>
        <w:br/>
        <w:t>Hangitavad diagnostikameditsiiniseadmed peavad vastama määrusele (EL) 2017/746 või olema turul vastavalt määruse (EL) 2017/746 üleminekusätetele.</w:t>
      </w:r>
      <w:r w:rsidR="00DE1B5B" w:rsidRPr="006A1D0F">
        <w:rPr>
          <w:bCs/>
        </w:rPr>
        <w:t xml:space="preserve"> Soovit</w:t>
      </w:r>
      <w:r w:rsidR="00F0762E" w:rsidRPr="006A1D0F">
        <w:rPr>
          <w:bCs/>
        </w:rPr>
        <w:t>avalt</w:t>
      </w:r>
      <w:r w:rsidR="00DE1B5B" w:rsidRPr="006A1D0F">
        <w:rPr>
          <w:bCs/>
        </w:rPr>
        <w:t xml:space="preserve"> peaks pakkuja andma </w:t>
      </w:r>
      <w:r w:rsidR="00492C3A" w:rsidRPr="006A1D0F">
        <w:rPr>
          <w:bCs/>
        </w:rPr>
        <w:t xml:space="preserve">hangitavate toodete osas </w:t>
      </w:r>
      <w:r w:rsidR="00DE1B5B" w:rsidRPr="006A1D0F">
        <w:rPr>
          <w:bCs/>
        </w:rPr>
        <w:t>hinnangu riskile, mis võib olla seotud tulenevalt üleminekust EL 2017/746 määrusele.</w:t>
      </w:r>
    </w:p>
    <w:p w14:paraId="33CD59EE" w14:textId="77777777" w:rsidR="000024CE" w:rsidRPr="006A1D0F" w:rsidRDefault="000024CE" w:rsidP="000024CE">
      <w:pPr>
        <w:pStyle w:val="Normaallaadveeb"/>
        <w:spacing w:beforeAutospacing="0" w:after="0" w:line="259" w:lineRule="auto"/>
        <w:jc w:val="both"/>
        <w:rPr>
          <w:bCs/>
        </w:rPr>
      </w:pPr>
    </w:p>
    <w:p w14:paraId="47E21E74" w14:textId="37529863" w:rsidR="00305FAE" w:rsidRPr="006A1D0F" w:rsidRDefault="00C7062F" w:rsidP="000024CE">
      <w:pPr>
        <w:pStyle w:val="Pealkiri1"/>
        <w:numPr>
          <w:ilvl w:val="0"/>
          <w:numId w:val="4"/>
        </w:numPr>
        <w:spacing w:before="0"/>
        <w:jc w:val="both"/>
        <w:rPr>
          <w:rFonts w:ascii="Times New Roman" w:hAnsi="Times New Roman" w:cs="Times New Roman"/>
          <w:b/>
          <w:color w:val="auto"/>
          <w:sz w:val="24"/>
          <w:szCs w:val="24"/>
        </w:rPr>
      </w:pPr>
      <w:bookmarkStart w:id="4" w:name="_Toc163656446"/>
      <w:r w:rsidRPr="006A1D0F">
        <w:rPr>
          <w:rFonts w:ascii="Times New Roman" w:hAnsi="Times New Roman" w:cs="Times New Roman"/>
          <w:b/>
          <w:color w:val="auto"/>
          <w:sz w:val="24"/>
          <w:szCs w:val="24"/>
        </w:rPr>
        <w:t>K</w:t>
      </w:r>
      <w:r w:rsidR="000A6BA0" w:rsidRPr="006A1D0F">
        <w:rPr>
          <w:rFonts w:ascii="Times New Roman" w:hAnsi="Times New Roman" w:cs="Times New Roman"/>
          <w:b/>
          <w:color w:val="auto"/>
          <w:sz w:val="24"/>
          <w:szCs w:val="24"/>
        </w:rPr>
        <w:t xml:space="preserve">onkreetse analüüsiga </w:t>
      </w:r>
      <w:r w:rsidRPr="006A1D0F">
        <w:rPr>
          <w:rFonts w:ascii="Times New Roman" w:hAnsi="Times New Roman" w:cs="Times New Roman"/>
          <w:b/>
          <w:color w:val="auto"/>
          <w:sz w:val="24"/>
          <w:szCs w:val="24"/>
        </w:rPr>
        <w:t>mitte</w:t>
      </w:r>
      <w:r w:rsidR="000A6BA0" w:rsidRPr="006A1D0F">
        <w:rPr>
          <w:rFonts w:ascii="Times New Roman" w:hAnsi="Times New Roman" w:cs="Times New Roman"/>
          <w:b/>
          <w:color w:val="auto"/>
          <w:sz w:val="24"/>
          <w:szCs w:val="24"/>
        </w:rPr>
        <w:t>seotud seadmed</w:t>
      </w:r>
      <w:bookmarkEnd w:id="4"/>
    </w:p>
    <w:p w14:paraId="48B72534" w14:textId="0FC1D051" w:rsidR="00493476" w:rsidRPr="00671D29" w:rsidRDefault="000A6BA0" w:rsidP="000024CE">
      <w:pPr>
        <w:spacing w:after="0" w:line="240" w:lineRule="auto"/>
        <w:jc w:val="both"/>
        <w:rPr>
          <w:rFonts w:ascii="Times New Roman" w:eastAsia="Times New Roman" w:hAnsi="Times New Roman" w:cs="Times New Roman"/>
          <w:color w:val="000000"/>
          <w:sz w:val="24"/>
          <w:szCs w:val="24"/>
          <w:lang w:eastAsia="et-EE"/>
        </w:rPr>
      </w:pPr>
      <w:r w:rsidRPr="00671D29">
        <w:rPr>
          <w:rFonts w:ascii="Times New Roman" w:eastAsia="Times New Roman" w:hAnsi="Times New Roman" w:cs="Times New Roman"/>
          <w:color w:val="000000"/>
          <w:sz w:val="24"/>
          <w:szCs w:val="24"/>
          <w:lang w:eastAsia="et-EE"/>
        </w:rPr>
        <w:t>C</w:t>
      </w:r>
      <w:r w:rsidR="006A1D0F">
        <w:rPr>
          <w:rFonts w:ascii="Times New Roman" w:eastAsia="Times New Roman" w:hAnsi="Times New Roman" w:cs="Times New Roman"/>
          <w:color w:val="000000"/>
          <w:sz w:val="24"/>
          <w:szCs w:val="24"/>
          <w:lang w:eastAsia="et-EE"/>
        </w:rPr>
        <w:t>E vastavusmärgiseta diagnostikameditsiiniseadme</w:t>
      </w:r>
      <w:r w:rsidRPr="00671D29">
        <w:rPr>
          <w:rFonts w:ascii="Times New Roman" w:eastAsia="Times New Roman" w:hAnsi="Times New Roman" w:cs="Times New Roman"/>
          <w:color w:val="000000"/>
          <w:sz w:val="24"/>
          <w:szCs w:val="24"/>
          <w:lang w:eastAsia="et-EE"/>
        </w:rPr>
        <w:t xml:space="preserve">  (näiteks </w:t>
      </w:r>
      <w:proofErr w:type="spellStart"/>
      <w:r w:rsidRPr="00671D29">
        <w:rPr>
          <w:rFonts w:ascii="Times New Roman" w:eastAsia="Times New Roman" w:hAnsi="Times New Roman" w:cs="Times New Roman"/>
          <w:i/>
          <w:iCs/>
          <w:color w:val="000000"/>
          <w:sz w:val="24"/>
          <w:szCs w:val="24"/>
          <w:lang w:eastAsia="et-EE"/>
        </w:rPr>
        <w:t>research</w:t>
      </w:r>
      <w:proofErr w:type="spellEnd"/>
      <w:r w:rsidRPr="00671D29">
        <w:rPr>
          <w:rFonts w:ascii="Times New Roman" w:eastAsia="Times New Roman" w:hAnsi="Times New Roman" w:cs="Times New Roman"/>
          <w:i/>
          <w:iCs/>
          <w:color w:val="000000"/>
          <w:sz w:val="24"/>
          <w:szCs w:val="24"/>
          <w:lang w:eastAsia="et-EE"/>
        </w:rPr>
        <w:t xml:space="preserve"> </w:t>
      </w:r>
      <w:proofErr w:type="spellStart"/>
      <w:r w:rsidRPr="00671D29">
        <w:rPr>
          <w:rFonts w:ascii="Times New Roman" w:eastAsia="Times New Roman" w:hAnsi="Times New Roman" w:cs="Times New Roman"/>
          <w:i/>
          <w:iCs/>
          <w:color w:val="000000"/>
          <w:sz w:val="24"/>
          <w:szCs w:val="24"/>
          <w:lang w:eastAsia="et-EE"/>
        </w:rPr>
        <w:t>use</w:t>
      </w:r>
      <w:proofErr w:type="spellEnd"/>
      <w:r w:rsidRPr="00671D29">
        <w:rPr>
          <w:rFonts w:ascii="Times New Roman" w:eastAsia="Times New Roman" w:hAnsi="Times New Roman" w:cs="Times New Roman"/>
          <w:i/>
          <w:iCs/>
          <w:color w:val="000000"/>
          <w:sz w:val="24"/>
          <w:szCs w:val="24"/>
          <w:lang w:eastAsia="et-EE"/>
        </w:rPr>
        <w:t xml:space="preserve"> </w:t>
      </w:r>
      <w:proofErr w:type="spellStart"/>
      <w:r w:rsidRPr="00671D29">
        <w:rPr>
          <w:rFonts w:ascii="Times New Roman" w:eastAsia="Times New Roman" w:hAnsi="Times New Roman" w:cs="Times New Roman"/>
          <w:i/>
          <w:iCs/>
          <w:color w:val="000000"/>
          <w:sz w:val="24"/>
          <w:szCs w:val="24"/>
          <w:lang w:eastAsia="et-EE"/>
        </w:rPr>
        <w:t>only</w:t>
      </w:r>
      <w:proofErr w:type="spellEnd"/>
      <w:r w:rsidRPr="00671D29">
        <w:rPr>
          <w:rFonts w:ascii="Times New Roman" w:eastAsia="Times New Roman" w:hAnsi="Times New Roman" w:cs="Times New Roman"/>
          <w:color w:val="000000"/>
          <w:sz w:val="24"/>
          <w:szCs w:val="24"/>
          <w:lang w:eastAsia="et-EE"/>
        </w:rPr>
        <w:t> </w:t>
      </w:r>
      <w:r w:rsidR="005B7518" w:rsidRPr="00671D29">
        <w:rPr>
          <w:rFonts w:ascii="Times New Roman" w:eastAsia="Times New Roman" w:hAnsi="Times New Roman" w:cs="Times New Roman"/>
          <w:color w:val="000000"/>
          <w:sz w:val="24"/>
          <w:szCs w:val="24"/>
          <w:lang w:eastAsia="et-EE"/>
        </w:rPr>
        <w:t xml:space="preserve">(RUO) </w:t>
      </w:r>
      <w:r w:rsidRPr="00671D29">
        <w:rPr>
          <w:rFonts w:ascii="Times New Roman" w:eastAsia="Times New Roman" w:hAnsi="Times New Roman" w:cs="Times New Roman"/>
          <w:color w:val="000000"/>
          <w:sz w:val="24"/>
          <w:szCs w:val="24"/>
          <w:lang w:eastAsia="et-EE"/>
        </w:rPr>
        <w:t>või </w:t>
      </w:r>
      <w:proofErr w:type="spellStart"/>
      <w:r w:rsidRPr="00671D29">
        <w:rPr>
          <w:rFonts w:ascii="Times New Roman" w:eastAsia="Times New Roman" w:hAnsi="Times New Roman" w:cs="Times New Roman"/>
          <w:i/>
          <w:iCs/>
          <w:color w:val="000000"/>
          <w:sz w:val="24"/>
          <w:szCs w:val="24"/>
          <w:lang w:eastAsia="et-EE"/>
        </w:rPr>
        <w:t>general</w:t>
      </w:r>
      <w:proofErr w:type="spellEnd"/>
      <w:r w:rsidRPr="00671D29">
        <w:rPr>
          <w:rFonts w:ascii="Times New Roman" w:eastAsia="Times New Roman" w:hAnsi="Times New Roman" w:cs="Times New Roman"/>
          <w:i/>
          <w:iCs/>
          <w:color w:val="000000"/>
          <w:sz w:val="24"/>
          <w:szCs w:val="24"/>
          <w:lang w:eastAsia="et-EE"/>
        </w:rPr>
        <w:t xml:space="preserve"> </w:t>
      </w:r>
      <w:proofErr w:type="spellStart"/>
      <w:r w:rsidRPr="00671D29">
        <w:rPr>
          <w:rFonts w:ascii="Times New Roman" w:eastAsia="Times New Roman" w:hAnsi="Times New Roman" w:cs="Times New Roman"/>
          <w:i/>
          <w:iCs/>
          <w:color w:val="000000"/>
          <w:sz w:val="24"/>
          <w:szCs w:val="24"/>
          <w:lang w:eastAsia="et-EE"/>
        </w:rPr>
        <w:t>purpose</w:t>
      </w:r>
      <w:proofErr w:type="spellEnd"/>
      <w:r w:rsidRPr="00671D29">
        <w:rPr>
          <w:rFonts w:ascii="Times New Roman" w:eastAsia="Times New Roman" w:hAnsi="Times New Roman" w:cs="Times New Roman"/>
          <w:i/>
          <w:iCs/>
          <w:color w:val="000000"/>
          <w:sz w:val="24"/>
          <w:szCs w:val="24"/>
          <w:lang w:eastAsia="et-EE"/>
        </w:rPr>
        <w:t> </w:t>
      </w:r>
      <w:proofErr w:type="spellStart"/>
      <w:r w:rsidRPr="00671D29">
        <w:rPr>
          <w:rFonts w:ascii="Times New Roman" w:eastAsia="Times New Roman" w:hAnsi="Times New Roman" w:cs="Times New Roman"/>
          <w:color w:val="000000"/>
          <w:sz w:val="24"/>
          <w:szCs w:val="24"/>
          <w:lang w:eastAsia="et-EE"/>
        </w:rPr>
        <w:t>reagentide</w:t>
      </w:r>
      <w:proofErr w:type="spellEnd"/>
      <w:r w:rsidRPr="00671D29">
        <w:rPr>
          <w:rFonts w:ascii="Times New Roman" w:eastAsia="Times New Roman" w:hAnsi="Times New Roman" w:cs="Times New Roman"/>
          <w:color w:val="000000"/>
          <w:sz w:val="24"/>
          <w:szCs w:val="24"/>
          <w:lang w:eastAsia="et-EE"/>
        </w:rPr>
        <w:t>/aparaatide) kasutamine tervishoiuasutuses ei ole keelatud, aga ei ole ka reguleeritud EL määruste poolt</w:t>
      </w:r>
      <w:r w:rsidR="00A03788" w:rsidRPr="00671D29">
        <w:rPr>
          <w:rFonts w:ascii="Times New Roman" w:eastAsia="Times New Roman" w:hAnsi="Times New Roman" w:cs="Times New Roman"/>
          <w:color w:val="000000"/>
          <w:sz w:val="24"/>
          <w:szCs w:val="24"/>
          <w:lang w:eastAsia="et-EE"/>
        </w:rPr>
        <w:t>.</w:t>
      </w:r>
    </w:p>
    <w:p w14:paraId="351B064C" w14:textId="77777777" w:rsidR="0082091B" w:rsidRPr="005B679D" w:rsidRDefault="0082091B" w:rsidP="000024CE">
      <w:pPr>
        <w:spacing w:after="0" w:line="240" w:lineRule="auto"/>
        <w:jc w:val="both"/>
        <w:rPr>
          <w:rFonts w:ascii="Times New Roman" w:eastAsia="Times New Roman" w:hAnsi="Times New Roman" w:cs="Times New Roman"/>
          <w:color w:val="000000"/>
          <w:sz w:val="24"/>
          <w:szCs w:val="24"/>
          <w:u w:val="single"/>
          <w:lang w:eastAsia="et-EE"/>
        </w:rPr>
      </w:pPr>
    </w:p>
    <w:p w14:paraId="68CD533F" w14:textId="27AD5467" w:rsidR="0082091B" w:rsidRPr="005B679D" w:rsidRDefault="0082091B" w:rsidP="000024CE">
      <w:pPr>
        <w:spacing w:after="0" w:line="240" w:lineRule="auto"/>
        <w:jc w:val="both"/>
        <w:rPr>
          <w:rFonts w:ascii="Times New Roman" w:eastAsia="Times New Roman" w:hAnsi="Times New Roman" w:cs="Times New Roman"/>
          <w:color w:val="000000"/>
          <w:sz w:val="24"/>
          <w:szCs w:val="24"/>
          <w:lang w:eastAsia="et-EE"/>
        </w:rPr>
      </w:pPr>
      <w:r w:rsidRPr="005B679D">
        <w:rPr>
          <w:rFonts w:ascii="Times New Roman" w:eastAsia="Times New Roman" w:hAnsi="Times New Roman" w:cs="Times New Roman"/>
          <w:color w:val="000000"/>
          <w:sz w:val="24"/>
          <w:szCs w:val="24"/>
          <w:lang w:eastAsia="et-EE"/>
        </w:rPr>
        <w:t>Kui aga tervishoiuasutus omistab CE-märgist mitte</w:t>
      </w:r>
      <w:r>
        <w:rPr>
          <w:rFonts w:ascii="Times New Roman" w:eastAsia="Times New Roman" w:hAnsi="Times New Roman" w:cs="Times New Roman"/>
          <w:color w:val="000000"/>
          <w:sz w:val="24"/>
          <w:szCs w:val="24"/>
          <w:lang w:eastAsia="et-EE"/>
        </w:rPr>
        <w:t>oma</w:t>
      </w:r>
      <w:r w:rsidRPr="005B679D">
        <w:rPr>
          <w:rFonts w:ascii="Times New Roman" w:eastAsia="Times New Roman" w:hAnsi="Times New Roman" w:cs="Times New Roman"/>
          <w:color w:val="000000"/>
          <w:sz w:val="24"/>
          <w:szCs w:val="24"/>
          <w:lang w:eastAsia="et-EE"/>
        </w:rPr>
        <w:t xml:space="preserve">vale seadmele (näiteks </w:t>
      </w:r>
      <w:proofErr w:type="spellStart"/>
      <w:r w:rsidRPr="005B679D">
        <w:rPr>
          <w:rFonts w:ascii="Times New Roman" w:eastAsia="Times New Roman" w:hAnsi="Times New Roman" w:cs="Times New Roman"/>
          <w:color w:val="000000"/>
          <w:sz w:val="24"/>
          <w:szCs w:val="24"/>
          <w:lang w:eastAsia="et-EE"/>
        </w:rPr>
        <w:t>RUO-le</w:t>
      </w:r>
      <w:proofErr w:type="spellEnd"/>
      <w:r w:rsidRPr="005B679D">
        <w:rPr>
          <w:rFonts w:ascii="Times New Roman" w:eastAsia="Times New Roman" w:hAnsi="Times New Roman" w:cs="Times New Roman"/>
          <w:color w:val="000000"/>
          <w:sz w:val="24"/>
          <w:szCs w:val="24"/>
          <w:lang w:eastAsia="et-EE"/>
        </w:rPr>
        <w:t>) sellise eesmärgi, et see vastab IVDR-i artikli 2 lõikes 2 („</w:t>
      </w:r>
      <w:r w:rsidRPr="005B679D">
        <w:rPr>
          <w:rFonts w:ascii="Times New Roman" w:eastAsia="Times New Roman" w:hAnsi="Times New Roman" w:cs="Times New Roman"/>
          <w:i/>
          <w:iCs/>
          <w:color w:val="000000"/>
          <w:sz w:val="24"/>
          <w:szCs w:val="24"/>
          <w:lang w:eastAsia="et-EE"/>
        </w:rPr>
        <w:t xml:space="preserve">in </w:t>
      </w:r>
      <w:proofErr w:type="spellStart"/>
      <w:r w:rsidRPr="005B679D">
        <w:rPr>
          <w:rFonts w:ascii="Times New Roman" w:eastAsia="Times New Roman" w:hAnsi="Times New Roman" w:cs="Times New Roman"/>
          <w:i/>
          <w:iCs/>
          <w:color w:val="000000"/>
          <w:sz w:val="24"/>
          <w:szCs w:val="24"/>
          <w:lang w:eastAsia="et-EE"/>
        </w:rPr>
        <w:t>vitro</w:t>
      </w:r>
      <w:proofErr w:type="spellEnd"/>
      <w:r w:rsidRPr="005B679D">
        <w:rPr>
          <w:rFonts w:ascii="Times New Roman" w:eastAsia="Times New Roman" w:hAnsi="Times New Roman" w:cs="Times New Roman"/>
          <w:color w:val="000000"/>
          <w:sz w:val="24"/>
          <w:szCs w:val="24"/>
          <w:lang w:eastAsia="et-EE"/>
        </w:rPr>
        <w:t xml:space="preserve"> diagnostikameditsiiniseade“) definitsioonidele, </w:t>
      </w:r>
      <w:r>
        <w:rPr>
          <w:rFonts w:ascii="Times New Roman" w:eastAsia="Times New Roman" w:hAnsi="Times New Roman" w:cs="Times New Roman"/>
          <w:color w:val="000000"/>
          <w:sz w:val="24"/>
          <w:szCs w:val="24"/>
          <w:lang w:eastAsia="et-EE"/>
        </w:rPr>
        <w:t xml:space="preserve">siis </w:t>
      </w:r>
      <w:r w:rsidRPr="005B679D">
        <w:rPr>
          <w:rFonts w:ascii="Times New Roman" w:eastAsia="Times New Roman" w:hAnsi="Times New Roman" w:cs="Times New Roman"/>
          <w:color w:val="000000"/>
          <w:sz w:val="24"/>
          <w:szCs w:val="24"/>
          <w:lang w:eastAsia="et-EE"/>
        </w:rPr>
        <w:t xml:space="preserve">kohaldatakse </w:t>
      </w:r>
      <w:proofErr w:type="spellStart"/>
      <w:r w:rsidRPr="005B679D">
        <w:rPr>
          <w:rFonts w:ascii="Times New Roman" w:eastAsia="Times New Roman" w:hAnsi="Times New Roman" w:cs="Times New Roman"/>
          <w:color w:val="000000"/>
          <w:sz w:val="24"/>
          <w:szCs w:val="24"/>
          <w:lang w:eastAsia="et-EE"/>
        </w:rPr>
        <w:t>IVDRi</w:t>
      </w:r>
      <w:proofErr w:type="spellEnd"/>
      <w:r w:rsidRPr="005B679D">
        <w:rPr>
          <w:rFonts w:ascii="Times New Roman" w:eastAsia="Times New Roman" w:hAnsi="Times New Roman" w:cs="Times New Roman"/>
          <w:color w:val="000000"/>
          <w:sz w:val="24"/>
          <w:szCs w:val="24"/>
          <w:lang w:eastAsia="et-EE"/>
        </w:rPr>
        <w:t xml:space="preserve"> artikli 5 lõiget 5. </w:t>
      </w:r>
      <w:r w:rsidRPr="005B679D">
        <w:rPr>
          <w:rFonts w:ascii="Times New Roman" w:eastAsia="Times New Roman" w:hAnsi="Times New Roman" w:cs="Times New Roman"/>
          <w:bCs/>
          <w:color w:val="000000"/>
          <w:sz w:val="24"/>
          <w:szCs w:val="24"/>
          <w:lang w:eastAsia="et-EE"/>
        </w:rPr>
        <w:t>Asutusesiseselt valmistatud ja kasutatud seadmed võivad komponentidena sisaldada RUO vm</w:t>
      </w:r>
      <w:r>
        <w:rPr>
          <w:rFonts w:ascii="Times New Roman" w:eastAsia="Times New Roman" w:hAnsi="Times New Roman" w:cs="Times New Roman"/>
          <w:bCs/>
          <w:color w:val="000000"/>
          <w:sz w:val="24"/>
          <w:szCs w:val="24"/>
          <w:lang w:eastAsia="et-EE"/>
        </w:rPr>
        <w:t>.</w:t>
      </w:r>
      <w:r w:rsidRPr="005B679D">
        <w:rPr>
          <w:rFonts w:ascii="Times New Roman" w:eastAsia="Times New Roman" w:hAnsi="Times New Roman" w:cs="Times New Roman"/>
          <w:bCs/>
          <w:color w:val="000000"/>
          <w:sz w:val="24"/>
          <w:szCs w:val="24"/>
          <w:lang w:eastAsia="et-EE"/>
        </w:rPr>
        <w:t xml:space="preserve"> laboris </w:t>
      </w:r>
      <w:proofErr w:type="spellStart"/>
      <w:r w:rsidRPr="005B679D">
        <w:rPr>
          <w:rFonts w:ascii="Times New Roman" w:eastAsia="Times New Roman" w:hAnsi="Times New Roman" w:cs="Times New Roman"/>
          <w:bCs/>
          <w:color w:val="000000"/>
          <w:sz w:val="24"/>
          <w:szCs w:val="24"/>
          <w:lang w:eastAsia="et-EE"/>
        </w:rPr>
        <w:t>üldkasutatavaid</w:t>
      </w:r>
      <w:proofErr w:type="spellEnd"/>
      <w:r w:rsidRPr="005B679D">
        <w:rPr>
          <w:rFonts w:ascii="Times New Roman" w:eastAsia="Times New Roman" w:hAnsi="Times New Roman" w:cs="Times New Roman"/>
          <w:bCs/>
          <w:color w:val="000000"/>
          <w:sz w:val="24"/>
          <w:szCs w:val="24"/>
          <w:lang w:eastAsia="et-EE"/>
        </w:rPr>
        <w:t xml:space="preserve"> seadmeid, tingimusel</w:t>
      </w:r>
      <w:r w:rsidR="002A0698">
        <w:rPr>
          <w:rFonts w:ascii="Times New Roman" w:eastAsia="Times New Roman" w:hAnsi="Times New Roman" w:cs="Times New Roman"/>
          <w:bCs/>
          <w:color w:val="000000"/>
          <w:sz w:val="24"/>
          <w:szCs w:val="24"/>
          <w:lang w:eastAsia="et-EE"/>
        </w:rPr>
        <w:t>,</w:t>
      </w:r>
      <w:r w:rsidRPr="005B679D">
        <w:rPr>
          <w:rFonts w:ascii="Times New Roman" w:eastAsia="Times New Roman" w:hAnsi="Times New Roman" w:cs="Times New Roman"/>
          <w:bCs/>
          <w:color w:val="000000"/>
          <w:sz w:val="24"/>
          <w:szCs w:val="24"/>
          <w:lang w:eastAsia="et-EE"/>
        </w:rPr>
        <w:t xml:space="preserve"> et valmistatav lõppseade vastab artikli 5 lõike 5 nõuetele.</w:t>
      </w:r>
    </w:p>
    <w:p w14:paraId="27FF7639" w14:textId="77777777" w:rsidR="00305FAE" w:rsidRPr="005B679D" w:rsidRDefault="00305FAE" w:rsidP="000024CE">
      <w:pPr>
        <w:spacing w:after="0" w:line="240" w:lineRule="auto"/>
        <w:jc w:val="both"/>
        <w:rPr>
          <w:rFonts w:ascii="Times New Roman" w:eastAsia="Times New Roman" w:hAnsi="Times New Roman" w:cs="Times New Roman"/>
          <w:color w:val="000000"/>
          <w:sz w:val="24"/>
          <w:szCs w:val="24"/>
          <w:lang w:eastAsia="et-EE"/>
        </w:rPr>
      </w:pPr>
    </w:p>
    <w:p w14:paraId="0E67367C" w14:textId="77777777" w:rsidR="00305FAE" w:rsidRPr="005B679D" w:rsidRDefault="00482ED7" w:rsidP="000024CE">
      <w:pPr>
        <w:spacing w:after="0" w:line="240" w:lineRule="auto"/>
        <w:jc w:val="both"/>
        <w:rPr>
          <w:rFonts w:ascii="Times New Roman" w:eastAsia="Times New Roman" w:hAnsi="Times New Roman" w:cs="Times New Roman"/>
          <w:color w:val="000000"/>
          <w:sz w:val="24"/>
          <w:szCs w:val="24"/>
          <w:lang w:eastAsia="et-EE"/>
        </w:rPr>
      </w:pPr>
      <w:proofErr w:type="spellStart"/>
      <w:r w:rsidRPr="005B679D">
        <w:rPr>
          <w:rFonts w:ascii="Times New Roman" w:eastAsia="Times New Roman" w:hAnsi="Times New Roman" w:cs="Times New Roman"/>
          <w:color w:val="000000"/>
          <w:sz w:val="24"/>
          <w:szCs w:val="24"/>
          <w:lang w:eastAsia="et-EE"/>
        </w:rPr>
        <w:t>IVDRi</w:t>
      </w:r>
      <w:proofErr w:type="spellEnd"/>
      <w:r w:rsidRPr="005B679D">
        <w:rPr>
          <w:rFonts w:ascii="Times New Roman" w:eastAsia="Times New Roman" w:hAnsi="Times New Roman" w:cs="Times New Roman"/>
          <w:color w:val="000000"/>
          <w:sz w:val="24"/>
          <w:szCs w:val="24"/>
          <w:lang w:eastAsia="et-EE"/>
        </w:rPr>
        <w:t xml:space="preserve"> </w:t>
      </w:r>
      <w:r w:rsidR="00493476" w:rsidRPr="005B679D">
        <w:rPr>
          <w:rFonts w:ascii="Times New Roman" w:eastAsia="Times New Roman" w:hAnsi="Times New Roman" w:cs="Times New Roman"/>
          <w:color w:val="000000"/>
          <w:sz w:val="24"/>
          <w:szCs w:val="24"/>
          <w:lang w:eastAsia="et-EE"/>
        </w:rPr>
        <w:t>Artikkel 1 lg 3 punkt a)</w:t>
      </w:r>
      <w:r w:rsidR="000A6BA0" w:rsidRPr="005B679D">
        <w:rPr>
          <w:rFonts w:ascii="Times New Roman" w:eastAsia="Times New Roman" w:hAnsi="Times New Roman" w:cs="Times New Roman"/>
          <w:color w:val="000000"/>
          <w:sz w:val="24"/>
          <w:szCs w:val="24"/>
          <w:lang w:eastAsia="et-EE"/>
        </w:rPr>
        <w:t xml:space="preserve"> ütleb, et </w:t>
      </w:r>
      <w:r w:rsidR="000A6BA0" w:rsidRPr="005B679D">
        <w:rPr>
          <w:rFonts w:ascii="Times New Roman" w:eastAsia="Times New Roman" w:hAnsi="Times New Roman" w:cs="Times New Roman"/>
          <w:bCs/>
          <w:color w:val="000000"/>
          <w:sz w:val="24"/>
          <w:szCs w:val="24"/>
          <w:lang w:eastAsia="et-EE"/>
        </w:rPr>
        <w:t xml:space="preserve">määruse kohaldamisalasse ei kuulu laboris </w:t>
      </w:r>
      <w:proofErr w:type="spellStart"/>
      <w:r w:rsidR="000A6BA0" w:rsidRPr="005B679D">
        <w:rPr>
          <w:rFonts w:ascii="Times New Roman" w:eastAsia="Times New Roman" w:hAnsi="Times New Roman" w:cs="Times New Roman"/>
          <w:bCs/>
          <w:color w:val="000000"/>
          <w:sz w:val="24"/>
          <w:szCs w:val="24"/>
          <w:lang w:eastAsia="et-EE"/>
        </w:rPr>
        <w:t>üldkasutatavad</w:t>
      </w:r>
      <w:proofErr w:type="spellEnd"/>
      <w:r w:rsidR="000A6BA0" w:rsidRPr="005B679D">
        <w:rPr>
          <w:rFonts w:ascii="Times New Roman" w:eastAsia="Times New Roman" w:hAnsi="Times New Roman" w:cs="Times New Roman"/>
          <w:bCs/>
          <w:color w:val="000000"/>
          <w:sz w:val="24"/>
          <w:szCs w:val="24"/>
          <w:lang w:eastAsia="et-EE"/>
        </w:rPr>
        <w:t xml:space="preserve"> tooted</w:t>
      </w:r>
      <w:r w:rsidR="00334E91" w:rsidRPr="005B679D">
        <w:rPr>
          <w:rFonts w:ascii="Times New Roman" w:eastAsia="Times New Roman" w:hAnsi="Times New Roman" w:cs="Times New Roman"/>
          <w:bCs/>
          <w:color w:val="000000"/>
          <w:sz w:val="24"/>
          <w:szCs w:val="24"/>
          <w:lang w:eastAsia="et-EE"/>
        </w:rPr>
        <w:t xml:space="preserve"> ja üksnes teadusuuringutes kasutatavad tooted, </w:t>
      </w:r>
      <w:r w:rsidR="000A6BA0" w:rsidRPr="005B679D">
        <w:rPr>
          <w:rFonts w:ascii="Times New Roman" w:eastAsia="Times New Roman" w:hAnsi="Times New Roman" w:cs="Times New Roman"/>
          <w:color w:val="000000"/>
          <w:sz w:val="24"/>
          <w:szCs w:val="24"/>
          <w:lang w:eastAsia="et-EE"/>
        </w:rPr>
        <w:t>välja arvatud juhul, kui tootja on nende omadusi silmas pidades näinud need ette</w:t>
      </w:r>
      <w:r w:rsidR="0082091B">
        <w:rPr>
          <w:rFonts w:ascii="Times New Roman" w:eastAsia="Times New Roman" w:hAnsi="Times New Roman" w:cs="Times New Roman"/>
          <w:color w:val="000000"/>
          <w:sz w:val="24"/>
          <w:szCs w:val="24"/>
          <w:lang w:eastAsia="et-EE"/>
        </w:rPr>
        <w:t xml:space="preserve"> konkreetseteks</w:t>
      </w:r>
      <w:r w:rsidR="000A6BA0" w:rsidRPr="005B679D">
        <w:rPr>
          <w:rFonts w:ascii="Times New Roman" w:eastAsia="Times New Roman" w:hAnsi="Times New Roman" w:cs="Times New Roman"/>
          <w:color w:val="000000"/>
          <w:sz w:val="24"/>
          <w:szCs w:val="24"/>
          <w:lang w:eastAsia="et-EE"/>
        </w:rPr>
        <w:t> </w:t>
      </w:r>
      <w:r w:rsidR="000A6BA0" w:rsidRPr="005B679D">
        <w:rPr>
          <w:rFonts w:ascii="Times New Roman" w:eastAsia="Times New Roman" w:hAnsi="Times New Roman" w:cs="Times New Roman"/>
          <w:i/>
          <w:iCs/>
          <w:color w:val="000000"/>
          <w:sz w:val="24"/>
          <w:szCs w:val="24"/>
          <w:lang w:eastAsia="et-EE"/>
        </w:rPr>
        <w:t xml:space="preserve">in </w:t>
      </w:r>
      <w:proofErr w:type="spellStart"/>
      <w:r w:rsidR="000A6BA0" w:rsidRPr="005B679D">
        <w:rPr>
          <w:rFonts w:ascii="Times New Roman" w:eastAsia="Times New Roman" w:hAnsi="Times New Roman" w:cs="Times New Roman"/>
          <w:i/>
          <w:iCs/>
          <w:color w:val="000000"/>
          <w:sz w:val="24"/>
          <w:szCs w:val="24"/>
          <w:lang w:eastAsia="et-EE"/>
        </w:rPr>
        <w:t>vitro</w:t>
      </w:r>
      <w:proofErr w:type="spellEnd"/>
      <w:r w:rsidR="000A6BA0" w:rsidRPr="005B679D">
        <w:rPr>
          <w:rFonts w:ascii="Times New Roman" w:eastAsia="Times New Roman" w:hAnsi="Times New Roman" w:cs="Times New Roman"/>
          <w:i/>
          <w:iCs/>
          <w:color w:val="000000"/>
          <w:sz w:val="24"/>
          <w:szCs w:val="24"/>
          <w:lang w:eastAsia="et-EE"/>
        </w:rPr>
        <w:t> </w:t>
      </w:r>
      <w:r w:rsidR="00BD28E8" w:rsidRPr="005B679D">
        <w:rPr>
          <w:rFonts w:ascii="Times New Roman" w:eastAsia="Times New Roman" w:hAnsi="Times New Roman" w:cs="Times New Roman"/>
          <w:color w:val="000000"/>
          <w:sz w:val="24"/>
          <w:szCs w:val="24"/>
          <w:lang w:eastAsia="et-EE"/>
        </w:rPr>
        <w:t>diagnostilisteks uuringuteks.</w:t>
      </w:r>
    </w:p>
    <w:p w14:paraId="28A1FB5B" w14:textId="77777777" w:rsidR="00305FAE" w:rsidRPr="005B679D" w:rsidRDefault="00305FAE" w:rsidP="000024CE">
      <w:pPr>
        <w:spacing w:after="0" w:line="240" w:lineRule="auto"/>
        <w:jc w:val="both"/>
        <w:rPr>
          <w:rFonts w:ascii="Times New Roman" w:eastAsia="Times New Roman" w:hAnsi="Times New Roman" w:cs="Times New Roman"/>
          <w:color w:val="000000"/>
          <w:sz w:val="24"/>
          <w:szCs w:val="24"/>
          <w:lang w:eastAsia="et-EE"/>
        </w:rPr>
      </w:pPr>
    </w:p>
    <w:p w14:paraId="69349066" w14:textId="77777777" w:rsidR="00305FAE" w:rsidRPr="005B679D" w:rsidRDefault="00BD28E8" w:rsidP="000024CE">
      <w:pPr>
        <w:spacing w:after="0" w:line="240" w:lineRule="auto"/>
        <w:jc w:val="both"/>
        <w:rPr>
          <w:rFonts w:ascii="Times New Roman" w:eastAsia="Times New Roman" w:hAnsi="Times New Roman" w:cs="Times New Roman"/>
          <w:color w:val="000000"/>
          <w:sz w:val="24"/>
          <w:szCs w:val="24"/>
          <w:lang w:eastAsia="et-EE"/>
        </w:rPr>
      </w:pPr>
      <w:r w:rsidRPr="005B679D">
        <w:rPr>
          <w:rFonts w:ascii="Times New Roman" w:eastAsia="Times New Roman" w:hAnsi="Times New Roman" w:cs="Times New Roman"/>
          <w:color w:val="000000"/>
          <w:sz w:val="24"/>
          <w:szCs w:val="24"/>
          <w:lang w:eastAsia="et-EE"/>
        </w:rPr>
        <w:t xml:space="preserve">Kui </w:t>
      </w:r>
      <w:r w:rsidR="000A6BA0" w:rsidRPr="005B679D">
        <w:rPr>
          <w:rFonts w:ascii="Times New Roman" w:eastAsia="Times New Roman" w:hAnsi="Times New Roman" w:cs="Times New Roman"/>
          <w:color w:val="000000"/>
          <w:sz w:val="24"/>
          <w:szCs w:val="24"/>
          <w:lang w:eastAsia="et-EE"/>
        </w:rPr>
        <w:t xml:space="preserve">turul </w:t>
      </w:r>
      <w:r w:rsidRPr="005B679D">
        <w:rPr>
          <w:rFonts w:ascii="Times New Roman" w:eastAsia="Times New Roman" w:hAnsi="Times New Roman" w:cs="Times New Roman"/>
          <w:color w:val="000000"/>
          <w:sz w:val="24"/>
          <w:szCs w:val="24"/>
          <w:lang w:eastAsia="et-EE"/>
        </w:rPr>
        <w:t>on</w:t>
      </w:r>
      <w:r w:rsidR="000A6BA0" w:rsidRPr="005B679D">
        <w:rPr>
          <w:rFonts w:ascii="Times New Roman" w:eastAsia="Times New Roman" w:hAnsi="Times New Roman" w:cs="Times New Roman"/>
          <w:color w:val="000000"/>
          <w:sz w:val="24"/>
          <w:szCs w:val="24"/>
          <w:lang w:eastAsia="et-EE"/>
        </w:rPr>
        <w:t xml:space="preserve"> </w:t>
      </w:r>
      <w:proofErr w:type="spellStart"/>
      <w:r w:rsidRPr="005B679D">
        <w:rPr>
          <w:rFonts w:ascii="Times New Roman" w:eastAsia="Times New Roman" w:hAnsi="Times New Roman" w:cs="Times New Roman"/>
          <w:color w:val="000000"/>
          <w:sz w:val="24"/>
          <w:szCs w:val="24"/>
          <w:lang w:eastAsia="et-EE"/>
        </w:rPr>
        <w:t>üldlaboriseade</w:t>
      </w:r>
      <w:proofErr w:type="spellEnd"/>
      <w:r w:rsidRPr="005B679D">
        <w:rPr>
          <w:rFonts w:ascii="Times New Roman" w:eastAsia="Times New Roman" w:hAnsi="Times New Roman" w:cs="Times New Roman"/>
          <w:color w:val="000000"/>
          <w:sz w:val="24"/>
          <w:szCs w:val="24"/>
          <w:lang w:eastAsia="et-EE"/>
        </w:rPr>
        <w:t>, mis on põhjendatult IVDD/IVDR CE</w:t>
      </w:r>
      <w:r w:rsidR="00482ED7" w:rsidRPr="005B679D">
        <w:rPr>
          <w:rFonts w:ascii="Times New Roman" w:eastAsia="Times New Roman" w:hAnsi="Times New Roman" w:cs="Times New Roman"/>
          <w:color w:val="000000"/>
          <w:sz w:val="24"/>
          <w:szCs w:val="24"/>
          <w:lang w:eastAsia="et-EE"/>
        </w:rPr>
        <w:t>-</w:t>
      </w:r>
      <w:r w:rsidRPr="005B679D">
        <w:rPr>
          <w:rFonts w:ascii="Times New Roman" w:eastAsia="Times New Roman" w:hAnsi="Times New Roman" w:cs="Times New Roman"/>
          <w:color w:val="000000"/>
          <w:sz w:val="24"/>
          <w:szCs w:val="24"/>
          <w:lang w:eastAsia="et-EE"/>
        </w:rPr>
        <w:t>märgisega</w:t>
      </w:r>
      <w:r w:rsidR="000A6BA0" w:rsidRPr="005B679D">
        <w:rPr>
          <w:rFonts w:ascii="Times New Roman" w:eastAsia="Times New Roman" w:hAnsi="Times New Roman" w:cs="Times New Roman"/>
          <w:color w:val="000000"/>
          <w:sz w:val="24"/>
          <w:szCs w:val="24"/>
          <w:lang w:eastAsia="et-EE"/>
        </w:rPr>
        <w:t>, siis sellel seadmel peab olema</w:t>
      </w:r>
      <w:r w:rsidRPr="005B679D">
        <w:rPr>
          <w:rFonts w:ascii="Times New Roman" w:eastAsia="Times New Roman" w:hAnsi="Times New Roman" w:cs="Times New Roman"/>
          <w:color w:val="000000"/>
          <w:sz w:val="24"/>
          <w:szCs w:val="24"/>
          <w:lang w:eastAsia="et-EE"/>
        </w:rPr>
        <w:t xml:space="preserve"> </w:t>
      </w:r>
      <w:r w:rsidR="000A6BA0" w:rsidRPr="005B679D">
        <w:rPr>
          <w:rFonts w:ascii="Times New Roman" w:eastAsia="Times New Roman" w:hAnsi="Times New Roman" w:cs="Times New Roman"/>
          <w:color w:val="000000"/>
          <w:sz w:val="24"/>
          <w:szCs w:val="24"/>
          <w:lang w:eastAsia="et-EE"/>
        </w:rPr>
        <w:t xml:space="preserve">tootja poolt ette nähtud väga spetsiifiline kasutus. Silmas tuleb pidada, et näiteks PCR masina puhul saab öelda, et see on </w:t>
      </w:r>
      <w:r w:rsidRPr="005B679D">
        <w:rPr>
          <w:rFonts w:ascii="Times New Roman" w:eastAsia="Times New Roman" w:hAnsi="Times New Roman" w:cs="Times New Roman"/>
          <w:color w:val="000000"/>
          <w:sz w:val="24"/>
          <w:szCs w:val="24"/>
          <w:lang w:eastAsia="et-EE"/>
        </w:rPr>
        <w:t xml:space="preserve">IVD/IVDR </w:t>
      </w:r>
      <w:r w:rsidR="000A6BA0" w:rsidRPr="005B679D">
        <w:rPr>
          <w:rFonts w:ascii="Times New Roman" w:eastAsia="Times New Roman" w:hAnsi="Times New Roman" w:cs="Times New Roman"/>
          <w:color w:val="000000"/>
          <w:sz w:val="24"/>
          <w:szCs w:val="24"/>
          <w:lang w:eastAsia="et-EE"/>
        </w:rPr>
        <w:t xml:space="preserve">CE-märgistatud vaid selles ulatuses, mis tootja on sihtotstarbesse kirjutanud. Kõiki muid </w:t>
      </w:r>
      <w:r w:rsidR="0082091B">
        <w:rPr>
          <w:rFonts w:ascii="Times New Roman" w:eastAsia="Times New Roman" w:hAnsi="Times New Roman" w:cs="Times New Roman"/>
          <w:color w:val="000000"/>
          <w:sz w:val="24"/>
          <w:szCs w:val="24"/>
          <w:lang w:eastAsia="et-EE"/>
        </w:rPr>
        <w:t>analüüse</w:t>
      </w:r>
      <w:r w:rsidR="0082091B" w:rsidRPr="005B679D">
        <w:rPr>
          <w:rFonts w:ascii="Times New Roman" w:eastAsia="Times New Roman" w:hAnsi="Times New Roman" w:cs="Times New Roman"/>
          <w:color w:val="000000"/>
          <w:sz w:val="24"/>
          <w:szCs w:val="24"/>
          <w:lang w:eastAsia="et-EE"/>
        </w:rPr>
        <w:t xml:space="preserve"> </w:t>
      </w:r>
      <w:r w:rsidR="000A6BA0" w:rsidRPr="005B679D">
        <w:rPr>
          <w:rFonts w:ascii="Times New Roman" w:eastAsia="Times New Roman" w:hAnsi="Times New Roman" w:cs="Times New Roman"/>
          <w:color w:val="000000"/>
          <w:sz w:val="24"/>
          <w:szCs w:val="24"/>
          <w:lang w:eastAsia="et-EE"/>
        </w:rPr>
        <w:t>samal masinal ei saa lugeda tehtuks CE-märgistatud meditsiiniseadmega.</w:t>
      </w:r>
    </w:p>
    <w:p w14:paraId="209477B1" w14:textId="77777777" w:rsidR="00BD28E8" w:rsidRPr="005B679D" w:rsidRDefault="00BD28E8" w:rsidP="000024CE">
      <w:pPr>
        <w:spacing w:after="0" w:line="240" w:lineRule="auto"/>
        <w:jc w:val="both"/>
        <w:rPr>
          <w:rFonts w:ascii="Times New Roman" w:eastAsia="Times New Roman" w:hAnsi="Times New Roman" w:cs="Times New Roman"/>
          <w:color w:val="000000"/>
          <w:sz w:val="24"/>
          <w:szCs w:val="24"/>
          <w:lang w:eastAsia="et-EE"/>
        </w:rPr>
      </w:pPr>
    </w:p>
    <w:p w14:paraId="7AC08495" w14:textId="77777777" w:rsidR="00BD28E8" w:rsidRPr="005B679D" w:rsidRDefault="00BD28E8" w:rsidP="000024CE">
      <w:pPr>
        <w:spacing w:after="0" w:line="240" w:lineRule="auto"/>
        <w:jc w:val="both"/>
        <w:rPr>
          <w:rFonts w:ascii="Times New Roman" w:eastAsia="Times New Roman" w:hAnsi="Times New Roman" w:cs="Times New Roman"/>
          <w:color w:val="000000"/>
          <w:sz w:val="24"/>
          <w:szCs w:val="24"/>
          <w:lang w:eastAsia="et-EE"/>
        </w:rPr>
      </w:pPr>
      <w:r w:rsidRPr="005B679D">
        <w:rPr>
          <w:rFonts w:ascii="Times New Roman" w:eastAsia="Times New Roman" w:hAnsi="Times New Roman" w:cs="Times New Roman"/>
          <w:color w:val="000000"/>
          <w:sz w:val="24"/>
          <w:szCs w:val="24"/>
          <w:lang w:eastAsia="et-EE"/>
        </w:rPr>
        <w:t>Sellest tulenevalt tuleks vältida olukorda, kus huvitatud osapooled hakkavad tekitama turul ek</w:t>
      </w:r>
      <w:r w:rsidR="0082091B">
        <w:rPr>
          <w:rFonts w:ascii="Times New Roman" w:eastAsia="Times New Roman" w:hAnsi="Times New Roman" w:cs="Times New Roman"/>
          <w:color w:val="000000"/>
          <w:sz w:val="24"/>
          <w:szCs w:val="24"/>
          <w:lang w:eastAsia="et-EE"/>
        </w:rPr>
        <w:t>s</w:t>
      </w:r>
      <w:r w:rsidRPr="005B679D">
        <w:rPr>
          <w:rFonts w:ascii="Times New Roman" w:eastAsia="Times New Roman" w:hAnsi="Times New Roman" w:cs="Times New Roman"/>
          <w:color w:val="000000"/>
          <w:sz w:val="24"/>
          <w:szCs w:val="24"/>
          <w:lang w:eastAsia="et-EE"/>
        </w:rPr>
        <w:t xml:space="preserve">itavat nõudlust CE-märgisega laboris </w:t>
      </w:r>
      <w:proofErr w:type="spellStart"/>
      <w:r w:rsidRPr="005B679D">
        <w:rPr>
          <w:rFonts w:ascii="Times New Roman" w:eastAsia="Times New Roman" w:hAnsi="Times New Roman" w:cs="Times New Roman"/>
          <w:color w:val="000000"/>
          <w:sz w:val="24"/>
          <w:szCs w:val="24"/>
          <w:lang w:eastAsia="et-EE"/>
        </w:rPr>
        <w:t>üldkasutatavate</w:t>
      </w:r>
      <w:proofErr w:type="spellEnd"/>
      <w:r w:rsidRPr="005B679D">
        <w:rPr>
          <w:rFonts w:ascii="Times New Roman" w:eastAsia="Times New Roman" w:hAnsi="Times New Roman" w:cs="Times New Roman"/>
          <w:color w:val="000000"/>
          <w:sz w:val="24"/>
          <w:szCs w:val="24"/>
          <w:lang w:eastAsia="et-EE"/>
        </w:rPr>
        <w:t xml:space="preserve"> toodete jär</w:t>
      </w:r>
      <w:r w:rsidR="0082091B">
        <w:rPr>
          <w:rFonts w:ascii="Times New Roman" w:eastAsia="Times New Roman" w:hAnsi="Times New Roman" w:cs="Times New Roman"/>
          <w:color w:val="000000"/>
          <w:sz w:val="24"/>
          <w:szCs w:val="24"/>
          <w:lang w:eastAsia="et-EE"/>
        </w:rPr>
        <w:t>ele</w:t>
      </w:r>
      <w:r w:rsidRPr="005B679D">
        <w:rPr>
          <w:rFonts w:ascii="Times New Roman" w:eastAsia="Times New Roman" w:hAnsi="Times New Roman" w:cs="Times New Roman"/>
          <w:color w:val="000000"/>
          <w:sz w:val="24"/>
          <w:szCs w:val="24"/>
          <w:lang w:eastAsia="et-EE"/>
        </w:rPr>
        <w:t>.</w:t>
      </w:r>
    </w:p>
    <w:p w14:paraId="46AB4CAD" w14:textId="77777777" w:rsidR="00493476" w:rsidRPr="005B679D" w:rsidRDefault="00493476" w:rsidP="000024CE">
      <w:pPr>
        <w:spacing w:after="0" w:line="240" w:lineRule="auto"/>
        <w:jc w:val="both"/>
        <w:rPr>
          <w:rFonts w:ascii="Times New Roman" w:eastAsia="Times New Roman" w:hAnsi="Times New Roman" w:cs="Times New Roman"/>
          <w:color w:val="000000"/>
          <w:sz w:val="24"/>
          <w:szCs w:val="24"/>
          <w:lang w:eastAsia="et-EE"/>
        </w:rPr>
      </w:pPr>
    </w:p>
    <w:p w14:paraId="34A96F20" w14:textId="77777777" w:rsidR="00305FAE" w:rsidRPr="005B679D" w:rsidRDefault="00546876" w:rsidP="000024CE">
      <w:pPr>
        <w:pStyle w:val="Pealkiri1"/>
        <w:numPr>
          <w:ilvl w:val="0"/>
          <w:numId w:val="4"/>
        </w:numPr>
        <w:spacing w:before="0"/>
        <w:jc w:val="both"/>
        <w:rPr>
          <w:rFonts w:ascii="Times New Roman" w:hAnsi="Times New Roman" w:cs="Times New Roman"/>
          <w:b/>
          <w:color w:val="auto"/>
          <w:sz w:val="24"/>
          <w:szCs w:val="24"/>
        </w:rPr>
      </w:pPr>
      <w:bookmarkStart w:id="5" w:name="_Toc163656447"/>
      <w:r w:rsidRPr="005B679D">
        <w:rPr>
          <w:rFonts w:ascii="Times New Roman" w:hAnsi="Times New Roman" w:cs="Times New Roman"/>
          <w:b/>
          <w:color w:val="auto"/>
          <w:sz w:val="24"/>
          <w:szCs w:val="24"/>
        </w:rPr>
        <w:t>Seadmed, mis on valmistatud tervishoiuasutuses</w:t>
      </w:r>
      <w:r w:rsidR="00D92AB1" w:rsidRPr="005B679D">
        <w:rPr>
          <w:rFonts w:ascii="Times New Roman" w:hAnsi="Times New Roman" w:cs="Times New Roman"/>
          <w:b/>
          <w:color w:val="auto"/>
          <w:sz w:val="24"/>
          <w:szCs w:val="24"/>
        </w:rPr>
        <w:t xml:space="preserve"> ehk LDT seadmed</w:t>
      </w:r>
      <w:bookmarkEnd w:id="5"/>
    </w:p>
    <w:p w14:paraId="6318F624" w14:textId="200A7E68" w:rsidR="00482ED7" w:rsidRDefault="00446FB4" w:rsidP="000024CE">
      <w:pPr>
        <w:spacing w:after="0" w:line="240" w:lineRule="auto"/>
        <w:jc w:val="both"/>
        <w:rPr>
          <w:rFonts w:ascii="Times New Roman" w:eastAsia="Times New Roman" w:hAnsi="Times New Roman" w:cs="Times New Roman"/>
          <w:color w:val="000000"/>
          <w:sz w:val="24"/>
          <w:szCs w:val="24"/>
          <w:lang w:eastAsia="et-EE"/>
        </w:rPr>
      </w:pPr>
      <w:r w:rsidRPr="005B679D">
        <w:rPr>
          <w:rFonts w:ascii="Times New Roman" w:eastAsia="Times New Roman" w:hAnsi="Times New Roman" w:cs="Times New Roman"/>
          <w:color w:val="000000"/>
          <w:sz w:val="24"/>
          <w:szCs w:val="24"/>
          <w:lang w:eastAsia="et-EE"/>
        </w:rPr>
        <w:t xml:space="preserve">Seadmed, mida kasutatakse </w:t>
      </w:r>
      <w:r w:rsidR="00D92AB1" w:rsidRPr="005B679D">
        <w:rPr>
          <w:rFonts w:ascii="Times New Roman" w:eastAsia="Times New Roman" w:hAnsi="Times New Roman" w:cs="Times New Roman"/>
          <w:color w:val="000000"/>
          <w:sz w:val="24"/>
          <w:szCs w:val="24"/>
          <w:lang w:eastAsia="et-EE"/>
        </w:rPr>
        <w:t xml:space="preserve">väljapool IVDD ja/või IVDR </w:t>
      </w:r>
      <w:r w:rsidR="00482ED7" w:rsidRPr="005B679D">
        <w:rPr>
          <w:rFonts w:ascii="Times New Roman" w:eastAsia="Times New Roman" w:hAnsi="Times New Roman" w:cs="Times New Roman"/>
          <w:color w:val="000000"/>
          <w:sz w:val="24"/>
          <w:szCs w:val="24"/>
          <w:lang w:eastAsia="et-EE"/>
        </w:rPr>
        <w:t>seadme</w:t>
      </w:r>
      <w:r w:rsidR="00D92AB1" w:rsidRPr="005B679D">
        <w:rPr>
          <w:rFonts w:ascii="Times New Roman" w:eastAsia="Times New Roman" w:hAnsi="Times New Roman" w:cs="Times New Roman"/>
          <w:color w:val="000000"/>
          <w:sz w:val="24"/>
          <w:szCs w:val="24"/>
          <w:lang w:eastAsia="et-EE"/>
        </w:rPr>
        <w:t xml:space="preserve"> </w:t>
      </w:r>
      <w:r w:rsidR="006A1D0F">
        <w:rPr>
          <w:rFonts w:ascii="Times New Roman" w:eastAsia="Times New Roman" w:hAnsi="Times New Roman" w:cs="Times New Roman"/>
          <w:color w:val="000000"/>
          <w:sz w:val="24"/>
          <w:szCs w:val="24"/>
          <w:lang w:eastAsia="et-EE"/>
        </w:rPr>
        <w:t>sihtotstarvet</w:t>
      </w:r>
      <w:r w:rsidR="00D92AB1" w:rsidRPr="005B679D">
        <w:rPr>
          <w:rFonts w:ascii="Times New Roman" w:eastAsia="Times New Roman" w:hAnsi="Times New Roman" w:cs="Times New Roman"/>
          <w:color w:val="000000"/>
          <w:sz w:val="24"/>
          <w:szCs w:val="24"/>
          <w:lang w:eastAsia="et-EE"/>
        </w:rPr>
        <w:t>; seadmed, mis ei oma IVDD ja/või IVD</w:t>
      </w:r>
      <w:r w:rsidR="00482ED7" w:rsidRPr="005B679D">
        <w:rPr>
          <w:rFonts w:ascii="Times New Roman" w:eastAsia="Times New Roman" w:hAnsi="Times New Roman" w:cs="Times New Roman"/>
          <w:color w:val="000000"/>
          <w:sz w:val="24"/>
          <w:szCs w:val="24"/>
          <w:lang w:eastAsia="et-EE"/>
        </w:rPr>
        <w:t>R</w:t>
      </w:r>
      <w:r w:rsidR="00D92AB1" w:rsidRPr="005B679D">
        <w:rPr>
          <w:rFonts w:ascii="Times New Roman" w:eastAsia="Times New Roman" w:hAnsi="Times New Roman" w:cs="Times New Roman"/>
          <w:color w:val="000000"/>
          <w:sz w:val="24"/>
          <w:szCs w:val="24"/>
          <w:lang w:eastAsia="et-EE"/>
        </w:rPr>
        <w:t xml:space="preserve"> </w:t>
      </w:r>
      <w:r w:rsidR="005B7518" w:rsidRPr="005B679D">
        <w:rPr>
          <w:rFonts w:ascii="Times New Roman" w:eastAsia="Times New Roman" w:hAnsi="Times New Roman" w:cs="Times New Roman"/>
          <w:color w:val="000000"/>
          <w:sz w:val="24"/>
          <w:szCs w:val="24"/>
          <w:lang w:eastAsia="et-EE"/>
        </w:rPr>
        <w:t xml:space="preserve">alusel </w:t>
      </w:r>
      <w:r w:rsidR="00482ED7" w:rsidRPr="005B679D">
        <w:rPr>
          <w:rFonts w:ascii="Times New Roman" w:eastAsia="Times New Roman" w:hAnsi="Times New Roman" w:cs="Times New Roman"/>
          <w:color w:val="000000"/>
          <w:sz w:val="24"/>
          <w:szCs w:val="24"/>
          <w:lang w:eastAsia="et-EE"/>
        </w:rPr>
        <w:t xml:space="preserve">paigaldatud </w:t>
      </w:r>
      <w:r w:rsidR="005B7518" w:rsidRPr="005B679D">
        <w:rPr>
          <w:rFonts w:ascii="Times New Roman" w:eastAsia="Times New Roman" w:hAnsi="Times New Roman" w:cs="Times New Roman"/>
          <w:color w:val="000000"/>
          <w:sz w:val="24"/>
          <w:szCs w:val="24"/>
          <w:lang w:eastAsia="et-EE"/>
        </w:rPr>
        <w:t>CE-</w:t>
      </w:r>
      <w:r w:rsidR="00D92AB1" w:rsidRPr="005B679D">
        <w:rPr>
          <w:rFonts w:ascii="Times New Roman" w:eastAsia="Times New Roman" w:hAnsi="Times New Roman" w:cs="Times New Roman"/>
          <w:color w:val="000000"/>
          <w:sz w:val="24"/>
          <w:szCs w:val="24"/>
          <w:lang w:eastAsia="et-EE"/>
        </w:rPr>
        <w:t xml:space="preserve">märgist; seadmed, mis omavad RUO märgist või mis on valmistatud ning mida kasutatakse tervishoiuasutuses, </w:t>
      </w:r>
      <w:r w:rsidR="00546876" w:rsidRPr="005B679D">
        <w:rPr>
          <w:rFonts w:ascii="Times New Roman" w:eastAsia="Times New Roman" w:hAnsi="Times New Roman" w:cs="Times New Roman"/>
          <w:color w:val="000000"/>
          <w:sz w:val="24"/>
          <w:szCs w:val="24"/>
          <w:lang w:eastAsia="et-EE"/>
        </w:rPr>
        <w:t xml:space="preserve">peavad </w:t>
      </w:r>
      <w:r w:rsidR="00CC5845" w:rsidRPr="005B679D">
        <w:rPr>
          <w:rFonts w:ascii="Times New Roman" w:eastAsia="Times New Roman" w:hAnsi="Times New Roman" w:cs="Times New Roman"/>
          <w:color w:val="000000"/>
          <w:sz w:val="24"/>
          <w:szCs w:val="24"/>
          <w:lang w:eastAsia="et-EE"/>
        </w:rPr>
        <w:t xml:space="preserve">meditsiinilisel otstarbel kasutamiseks </w:t>
      </w:r>
      <w:r w:rsidR="00546876" w:rsidRPr="005B679D">
        <w:rPr>
          <w:rFonts w:ascii="Times New Roman" w:eastAsia="Times New Roman" w:hAnsi="Times New Roman" w:cs="Times New Roman"/>
          <w:color w:val="000000"/>
          <w:sz w:val="24"/>
          <w:szCs w:val="24"/>
          <w:lang w:eastAsia="et-EE"/>
        </w:rPr>
        <w:t xml:space="preserve">vastama </w:t>
      </w:r>
      <w:proofErr w:type="spellStart"/>
      <w:r w:rsidR="00CF0489" w:rsidRPr="005B679D">
        <w:rPr>
          <w:rFonts w:ascii="Times New Roman" w:eastAsia="Times New Roman" w:hAnsi="Times New Roman" w:cs="Times New Roman"/>
          <w:color w:val="000000"/>
          <w:sz w:val="24"/>
          <w:szCs w:val="24"/>
          <w:lang w:eastAsia="et-EE"/>
        </w:rPr>
        <w:t>IVDRi</w:t>
      </w:r>
      <w:proofErr w:type="spellEnd"/>
      <w:r w:rsidR="00CF0489" w:rsidRPr="005B679D">
        <w:rPr>
          <w:rFonts w:ascii="Times New Roman" w:eastAsia="Times New Roman" w:hAnsi="Times New Roman" w:cs="Times New Roman"/>
          <w:color w:val="000000"/>
          <w:sz w:val="24"/>
          <w:szCs w:val="24"/>
          <w:lang w:eastAsia="et-EE"/>
        </w:rPr>
        <w:t xml:space="preserve"> </w:t>
      </w:r>
      <w:r w:rsidR="00546876" w:rsidRPr="005B679D">
        <w:rPr>
          <w:rFonts w:ascii="Times New Roman" w:eastAsia="Times New Roman" w:hAnsi="Times New Roman" w:cs="Times New Roman"/>
          <w:color w:val="000000"/>
          <w:sz w:val="24"/>
          <w:szCs w:val="24"/>
          <w:lang w:eastAsia="et-EE"/>
        </w:rPr>
        <w:t>artikkel 5 lõige 5</w:t>
      </w:r>
      <w:r w:rsidRPr="005B679D">
        <w:rPr>
          <w:rFonts w:ascii="Times New Roman" w:eastAsia="Times New Roman" w:hAnsi="Times New Roman" w:cs="Times New Roman"/>
          <w:color w:val="000000"/>
          <w:sz w:val="24"/>
          <w:szCs w:val="24"/>
          <w:lang w:eastAsia="et-EE"/>
        </w:rPr>
        <w:t xml:space="preserve"> nõuetele. </w:t>
      </w:r>
      <w:r w:rsidR="00482ED7" w:rsidRPr="005B679D">
        <w:rPr>
          <w:rFonts w:ascii="Times New Roman" w:eastAsia="Times New Roman" w:hAnsi="Times New Roman" w:cs="Times New Roman"/>
          <w:color w:val="000000"/>
          <w:sz w:val="24"/>
          <w:szCs w:val="24"/>
          <w:lang w:eastAsia="et-EE"/>
        </w:rPr>
        <w:t>Sellist</w:t>
      </w:r>
      <w:r w:rsidR="00E077F6">
        <w:rPr>
          <w:rFonts w:ascii="Times New Roman" w:eastAsia="Times New Roman" w:hAnsi="Times New Roman" w:cs="Times New Roman"/>
          <w:color w:val="000000"/>
          <w:sz w:val="24"/>
          <w:szCs w:val="24"/>
          <w:lang w:eastAsia="et-EE"/>
        </w:rPr>
        <w:t>ele seadmetele, mida tuntakse</w:t>
      </w:r>
      <w:r w:rsidR="00482ED7" w:rsidRPr="005B679D">
        <w:rPr>
          <w:rFonts w:ascii="Times New Roman" w:eastAsia="Times New Roman" w:hAnsi="Times New Roman" w:cs="Times New Roman"/>
          <w:color w:val="000000"/>
          <w:sz w:val="24"/>
          <w:szCs w:val="24"/>
          <w:lang w:eastAsia="et-EE"/>
        </w:rPr>
        <w:t xml:space="preserve"> kui </w:t>
      </w:r>
      <w:r w:rsidR="00482ED7" w:rsidRPr="005B679D">
        <w:rPr>
          <w:rFonts w:ascii="Times New Roman" w:eastAsia="Times New Roman" w:hAnsi="Times New Roman" w:cs="Times New Roman"/>
          <w:i/>
          <w:iCs/>
          <w:color w:val="000000"/>
          <w:sz w:val="24"/>
          <w:szCs w:val="24"/>
          <w:lang w:eastAsia="et-EE"/>
        </w:rPr>
        <w:t>in-</w:t>
      </w:r>
      <w:proofErr w:type="spellStart"/>
      <w:r w:rsidR="00482ED7" w:rsidRPr="005B679D">
        <w:rPr>
          <w:rFonts w:ascii="Times New Roman" w:eastAsia="Times New Roman" w:hAnsi="Times New Roman" w:cs="Times New Roman"/>
          <w:i/>
          <w:iCs/>
          <w:color w:val="000000"/>
          <w:sz w:val="24"/>
          <w:szCs w:val="24"/>
          <w:lang w:eastAsia="et-EE"/>
        </w:rPr>
        <w:t>house</w:t>
      </w:r>
      <w:proofErr w:type="spellEnd"/>
      <w:r w:rsidR="00482ED7" w:rsidRPr="005B679D">
        <w:rPr>
          <w:rFonts w:ascii="Times New Roman" w:eastAsia="Times New Roman" w:hAnsi="Times New Roman" w:cs="Times New Roman"/>
          <w:color w:val="000000"/>
          <w:sz w:val="24"/>
          <w:szCs w:val="24"/>
          <w:lang w:eastAsia="et-EE"/>
        </w:rPr>
        <w:t xml:space="preserve"> või LDT seadmeid, ei paigaldata CE-märgist</w:t>
      </w:r>
      <w:r w:rsidR="003E0CAE" w:rsidRPr="005B679D">
        <w:rPr>
          <w:rFonts w:ascii="Times New Roman" w:eastAsia="Times New Roman" w:hAnsi="Times New Roman" w:cs="Times New Roman"/>
          <w:color w:val="000000"/>
          <w:sz w:val="24"/>
          <w:szCs w:val="24"/>
          <w:lang w:eastAsia="et-EE"/>
        </w:rPr>
        <w:t xml:space="preserve"> ega kohaldata valdavat enamust </w:t>
      </w:r>
      <w:proofErr w:type="spellStart"/>
      <w:r w:rsidR="003E0CAE" w:rsidRPr="005B679D">
        <w:rPr>
          <w:rFonts w:ascii="Times New Roman" w:eastAsia="Times New Roman" w:hAnsi="Times New Roman" w:cs="Times New Roman"/>
          <w:color w:val="000000"/>
          <w:sz w:val="24"/>
          <w:szCs w:val="24"/>
          <w:lang w:eastAsia="et-EE"/>
        </w:rPr>
        <w:t>IVDRi</w:t>
      </w:r>
      <w:proofErr w:type="spellEnd"/>
      <w:r w:rsidR="003E0CAE" w:rsidRPr="005B679D">
        <w:rPr>
          <w:rFonts w:ascii="Times New Roman" w:eastAsia="Times New Roman" w:hAnsi="Times New Roman" w:cs="Times New Roman"/>
          <w:color w:val="000000"/>
          <w:sz w:val="24"/>
          <w:szCs w:val="24"/>
          <w:lang w:eastAsia="et-EE"/>
        </w:rPr>
        <w:t xml:space="preserve"> nõuetest. </w:t>
      </w:r>
    </w:p>
    <w:p w14:paraId="4FA7A2E9" w14:textId="77777777" w:rsidR="00E077F6" w:rsidRPr="005B679D" w:rsidRDefault="00E077F6" w:rsidP="000024CE">
      <w:pPr>
        <w:spacing w:after="0" w:line="240" w:lineRule="auto"/>
        <w:jc w:val="both"/>
        <w:rPr>
          <w:rFonts w:ascii="Times New Roman" w:eastAsia="Times New Roman" w:hAnsi="Times New Roman" w:cs="Times New Roman"/>
          <w:color w:val="000000"/>
          <w:sz w:val="24"/>
          <w:szCs w:val="24"/>
          <w:lang w:eastAsia="et-EE"/>
        </w:rPr>
      </w:pPr>
    </w:p>
    <w:p w14:paraId="6D21AAB2" w14:textId="77777777" w:rsidR="003E0CAE" w:rsidRPr="000024CE" w:rsidRDefault="00671D29" w:rsidP="000024CE">
      <w:pPr>
        <w:spacing w:after="0" w:line="240" w:lineRule="auto"/>
        <w:jc w:val="both"/>
        <w:rPr>
          <w:rFonts w:ascii="Times New Roman" w:eastAsia="Times New Roman" w:hAnsi="Times New Roman" w:cs="Times New Roman"/>
          <w:color w:val="000000"/>
          <w:sz w:val="24"/>
          <w:szCs w:val="24"/>
          <w:lang w:eastAsia="et-EE"/>
        </w:rPr>
      </w:pPr>
      <w:r w:rsidRPr="000024CE">
        <w:rPr>
          <w:rFonts w:ascii="Times New Roman" w:eastAsia="Times New Roman" w:hAnsi="Times New Roman" w:cs="Times New Roman"/>
          <w:color w:val="000000"/>
          <w:sz w:val="24"/>
          <w:szCs w:val="24"/>
          <w:lang w:eastAsia="et-EE"/>
        </w:rPr>
        <w:t>Tervishoiuasutuses välistatud ja kasutatavate</w:t>
      </w:r>
      <w:r w:rsidR="00E077F6" w:rsidRPr="000024CE">
        <w:rPr>
          <w:rFonts w:ascii="Times New Roman" w:eastAsia="Times New Roman" w:hAnsi="Times New Roman" w:cs="Times New Roman"/>
          <w:color w:val="000000"/>
          <w:sz w:val="24"/>
          <w:szCs w:val="24"/>
          <w:lang w:eastAsia="et-EE"/>
        </w:rPr>
        <w:t xml:space="preserve"> </w:t>
      </w:r>
      <w:r w:rsidR="003E0CAE" w:rsidRPr="000024CE">
        <w:rPr>
          <w:rFonts w:ascii="Times New Roman" w:eastAsia="Times New Roman" w:hAnsi="Times New Roman" w:cs="Times New Roman"/>
          <w:color w:val="000000"/>
          <w:sz w:val="24"/>
          <w:szCs w:val="24"/>
          <w:lang w:eastAsia="et-EE"/>
        </w:rPr>
        <w:t xml:space="preserve"> seadmete kohta on välja antud juhend </w:t>
      </w:r>
      <w:hyperlink r:id="rId13" w:history="1">
        <w:r w:rsidR="003E0CAE" w:rsidRPr="000024CE">
          <w:rPr>
            <w:rStyle w:val="Hperlink"/>
            <w:rFonts w:ascii="Times New Roman" w:eastAsia="Times New Roman" w:hAnsi="Times New Roman" w:cs="Times New Roman"/>
            <w:sz w:val="24"/>
            <w:szCs w:val="24"/>
            <w:lang w:eastAsia="et-EE"/>
          </w:rPr>
          <w:t>MDCG 2023-1</w:t>
        </w:r>
      </w:hyperlink>
      <w:r w:rsidR="003E0CAE" w:rsidRPr="000024CE">
        <w:rPr>
          <w:rFonts w:ascii="Times New Roman" w:eastAsia="Times New Roman" w:hAnsi="Times New Roman" w:cs="Times New Roman"/>
          <w:color w:val="000000"/>
          <w:sz w:val="24"/>
          <w:szCs w:val="24"/>
          <w:lang w:eastAsia="et-EE"/>
        </w:rPr>
        <w:t xml:space="preserve">, mis selgitab olulisemaid punkte. </w:t>
      </w:r>
    </w:p>
    <w:p w14:paraId="3F9E57A4" w14:textId="7B4687E8" w:rsidR="00305FAE" w:rsidRDefault="00CF0489" w:rsidP="000024CE">
      <w:pPr>
        <w:spacing w:after="0" w:line="240" w:lineRule="auto"/>
        <w:jc w:val="both"/>
        <w:rPr>
          <w:rFonts w:ascii="Times New Roman" w:hAnsi="Times New Roman" w:cs="Times New Roman"/>
          <w:i/>
          <w:sz w:val="24"/>
          <w:szCs w:val="24"/>
        </w:rPr>
      </w:pPr>
      <w:r w:rsidRPr="000024CE">
        <w:rPr>
          <w:rFonts w:ascii="Times New Roman" w:eastAsia="Times New Roman" w:hAnsi="Times New Roman" w:cs="Times New Roman"/>
          <w:color w:val="000000"/>
          <w:sz w:val="24"/>
          <w:szCs w:val="24"/>
          <w:lang w:eastAsia="et-EE"/>
        </w:rPr>
        <w:t>IVDR</w:t>
      </w:r>
      <w:r w:rsidR="0082091B" w:rsidRPr="000024CE">
        <w:rPr>
          <w:rFonts w:ascii="Times New Roman" w:eastAsia="Times New Roman" w:hAnsi="Times New Roman" w:cs="Times New Roman"/>
          <w:color w:val="000000"/>
          <w:sz w:val="24"/>
          <w:szCs w:val="24"/>
          <w:lang w:eastAsia="et-EE"/>
        </w:rPr>
        <w:t xml:space="preserve"> sätestab</w:t>
      </w:r>
      <w:r w:rsidR="00446FB4" w:rsidRPr="000024CE">
        <w:rPr>
          <w:rFonts w:ascii="Times New Roman" w:eastAsia="Times New Roman" w:hAnsi="Times New Roman" w:cs="Times New Roman"/>
          <w:color w:val="000000"/>
          <w:sz w:val="24"/>
          <w:szCs w:val="24"/>
          <w:lang w:eastAsia="et-EE"/>
        </w:rPr>
        <w:t xml:space="preserve">, et </w:t>
      </w:r>
      <w:r w:rsidR="000A6BA0" w:rsidRPr="000024CE">
        <w:rPr>
          <w:rFonts w:ascii="Times New Roman" w:eastAsia="Times New Roman" w:hAnsi="Times New Roman" w:cs="Times New Roman"/>
          <w:color w:val="000000"/>
          <w:sz w:val="24"/>
          <w:szCs w:val="24"/>
          <w:lang w:eastAsia="et-EE"/>
        </w:rPr>
        <w:t xml:space="preserve">seadmete valmistamine ja kasutamine </w:t>
      </w:r>
      <w:r w:rsidR="0082091B" w:rsidRPr="000024CE">
        <w:rPr>
          <w:rFonts w:ascii="Times New Roman" w:eastAsia="Times New Roman" w:hAnsi="Times New Roman" w:cs="Times New Roman"/>
          <w:color w:val="000000"/>
          <w:sz w:val="24"/>
          <w:szCs w:val="24"/>
          <w:lang w:eastAsia="et-EE"/>
        </w:rPr>
        <w:t xml:space="preserve">peab </w:t>
      </w:r>
      <w:r w:rsidR="000A6BA0" w:rsidRPr="000024CE">
        <w:rPr>
          <w:rFonts w:ascii="Times New Roman" w:eastAsia="Times New Roman" w:hAnsi="Times New Roman" w:cs="Times New Roman"/>
          <w:color w:val="000000"/>
          <w:sz w:val="24"/>
          <w:szCs w:val="24"/>
          <w:lang w:eastAsia="et-EE"/>
        </w:rPr>
        <w:t>toimu</w:t>
      </w:r>
      <w:r w:rsidR="0082091B" w:rsidRPr="000024CE">
        <w:rPr>
          <w:rFonts w:ascii="Times New Roman" w:eastAsia="Times New Roman" w:hAnsi="Times New Roman" w:cs="Times New Roman"/>
          <w:color w:val="000000"/>
          <w:sz w:val="24"/>
          <w:szCs w:val="24"/>
          <w:lang w:eastAsia="et-EE"/>
        </w:rPr>
        <w:t>ma</w:t>
      </w:r>
      <w:r w:rsidR="00BD28E8" w:rsidRPr="000024CE">
        <w:rPr>
          <w:rFonts w:ascii="Times New Roman" w:eastAsia="Times New Roman" w:hAnsi="Times New Roman" w:cs="Times New Roman"/>
          <w:color w:val="000000"/>
          <w:sz w:val="24"/>
          <w:szCs w:val="24"/>
          <w:lang w:eastAsia="et-EE"/>
        </w:rPr>
        <w:t xml:space="preserve"> asjakohaste kvaliteedijuhtimis</w:t>
      </w:r>
      <w:r w:rsidR="000A6BA0" w:rsidRPr="000024CE">
        <w:rPr>
          <w:rFonts w:ascii="Times New Roman" w:eastAsia="Times New Roman" w:hAnsi="Times New Roman" w:cs="Times New Roman"/>
          <w:color w:val="000000"/>
          <w:sz w:val="24"/>
          <w:szCs w:val="24"/>
          <w:lang w:eastAsia="et-EE"/>
        </w:rPr>
        <w:t xml:space="preserve">süsteemide alusel. </w:t>
      </w:r>
      <w:r w:rsidR="00BD28E8" w:rsidRPr="000024CE">
        <w:rPr>
          <w:rFonts w:ascii="Times New Roman" w:eastAsia="Times New Roman" w:hAnsi="Times New Roman" w:cs="Times New Roman"/>
          <w:color w:val="000000"/>
          <w:sz w:val="24"/>
          <w:szCs w:val="24"/>
          <w:lang w:eastAsia="et-EE"/>
        </w:rPr>
        <w:t>See tähendab, et labor</w:t>
      </w:r>
      <w:r w:rsidR="0082091B" w:rsidRPr="000024CE">
        <w:rPr>
          <w:rFonts w:ascii="Times New Roman" w:eastAsia="Times New Roman" w:hAnsi="Times New Roman" w:cs="Times New Roman"/>
          <w:color w:val="000000"/>
          <w:sz w:val="24"/>
          <w:szCs w:val="24"/>
          <w:lang w:eastAsia="et-EE"/>
        </w:rPr>
        <w:t>i</w:t>
      </w:r>
      <w:r w:rsidR="00BD28E8" w:rsidRPr="000024CE">
        <w:rPr>
          <w:rFonts w:ascii="Times New Roman" w:eastAsia="Times New Roman" w:hAnsi="Times New Roman" w:cs="Times New Roman"/>
          <w:color w:val="000000"/>
          <w:sz w:val="24"/>
          <w:szCs w:val="24"/>
          <w:lang w:eastAsia="et-EE"/>
        </w:rPr>
        <w:t>l peab olema EVS</w:t>
      </w:r>
      <w:r w:rsidR="009E4273" w:rsidRPr="000024CE">
        <w:rPr>
          <w:rFonts w:ascii="Times New Roman" w:eastAsia="Times New Roman" w:hAnsi="Times New Roman" w:cs="Times New Roman"/>
          <w:color w:val="000000"/>
          <w:sz w:val="24"/>
          <w:szCs w:val="24"/>
          <w:lang w:eastAsia="et-EE"/>
        </w:rPr>
        <w:t xml:space="preserve">-EN ISO 15189 </w:t>
      </w:r>
      <w:r w:rsidR="0082091B" w:rsidRPr="000024CE">
        <w:rPr>
          <w:rFonts w:ascii="Times New Roman" w:eastAsia="Times New Roman" w:hAnsi="Times New Roman" w:cs="Times New Roman"/>
          <w:color w:val="000000"/>
          <w:sz w:val="24"/>
          <w:szCs w:val="24"/>
          <w:lang w:eastAsia="et-EE"/>
        </w:rPr>
        <w:t xml:space="preserve">standardile </w:t>
      </w:r>
      <w:r w:rsidR="009E4273" w:rsidRPr="000024CE">
        <w:rPr>
          <w:rFonts w:ascii="Times New Roman" w:eastAsia="Times New Roman" w:hAnsi="Times New Roman" w:cs="Times New Roman"/>
          <w:color w:val="000000"/>
          <w:sz w:val="24"/>
          <w:szCs w:val="24"/>
          <w:lang w:eastAsia="et-EE"/>
        </w:rPr>
        <w:t xml:space="preserve">vastav </w:t>
      </w:r>
      <w:r w:rsidR="000024CE" w:rsidRPr="000024CE">
        <w:rPr>
          <w:rFonts w:ascii="Times New Roman" w:eastAsia="Times New Roman" w:hAnsi="Times New Roman" w:cs="Times New Roman"/>
          <w:color w:val="000000"/>
          <w:sz w:val="24"/>
          <w:szCs w:val="24"/>
          <w:lang w:eastAsia="et-EE"/>
        </w:rPr>
        <w:t>juhtimissüsteem.</w:t>
      </w:r>
      <w:r w:rsidR="00BD28E8" w:rsidRPr="000024CE">
        <w:rPr>
          <w:rFonts w:ascii="Times New Roman" w:eastAsia="Times New Roman" w:hAnsi="Times New Roman" w:cs="Times New Roman"/>
          <w:color w:val="000000"/>
          <w:sz w:val="24"/>
          <w:szCs w:val="24"/>
          <w:lang w:eastAsia="et-EE"/>
        </w:rPr>
        <w:t xml:space="preserve"> </w:t>
      </w:r>
      <w:r w:rsidR="000024CE" w:rsidRPr="000024CE">
        <w:rPr>
          <w:rFonts w:ascii="Times New Roman" w:hAnsi="Times New Roman" w:cs="Times New Roman"/>
          <w:sz w:val="24"/>
          <w:szCs w:val="24"/>
        </w:rPr>
        <w:t xml:space="preserve">Vastav analüüsimeetod ehk </w:t>
      </w:r>
      <w:r w:rsidR="000024CE">
        <w:rPr>
          <w:rFonts w:ascii="Times New Roman" w:hAnsi="Times New Roman" w:cs="Times New Roman"/>
          <w:sz w:val="24"/>
          <w:szCs w:val="24"/>
        </w:rPr>
        <w:t>tervishoiuasutuses</w:t>
      </w:r>
      <w:r w:rsidR="000024CE" w:rsidRPr="000024CE">
        <w:rPr>
          <w:rFonts w:ascii="Times New Roman" w:hAnsi="Times New Roman" w:cs="Times New Roman"/>
          <w:sz w:val="24"/>
          <w:szCs w:val="24"/>
        </w:rPr>
        <w:t xml:space="preserve"> valmistatud diagnostikameditsiiniseade ei pea olema akrediteerimisulatuses</w:t>
      </w:r>
      <w:r w:rsidR="000024CE" w:rsidRPr="000024CE">
        <w:rPr>
          <w:rFonts w:ascii="Times New Roman" w:hAnsi="Times New Roman" w:cs="Times New Roman"/>
          <w:i/>
          <w:sz w:val="24"/>
          <w:szCs w:val="24"/>
        </w:rPr>
        <w:t>.</w:t>
      </w:r>
    </w:p>
    <w:p w14:paraId="5BD8D5DA" w14:textId="77777777" w:rsidR="000024CE" w:rsidRPr="000024CE" w:rsidRDefault="000024CE" w:rsidP="000024CE">
      <w:pPr>
        <w:spacing w:after="0" w:line="240" w:lineRule="auto"/>
        <w:jc w:val="both"/>
        <w:rPr>
          <w:rFonts w:ascii="Times New Roman" w:eastAsia="Times New Roman" w:hAnsi="Times New Roman" w:cs="Times New Roman"/>
          <w:color w:val="000000"/>
          <w:sz w:val="24"/>
          <w:szCs w:val="24"/>
          <w:lang w:eastAsia="et-EE"/>
        </w:rPr>
      </w:pPr>
    </w:p>
    <w:p w14:paraId="3894F47D" w14:textId="77777777" w:rsidR="00446FB4" w:rsidRPr="000024CE" w:rsidRDefault="00446FB4" w:rsidP="000024CE">
      <w:pPr>
        <w:spacing w:after="0" w:line="240" w:lineRule="auto"/>
        <w:jc w:val="both"/>
        <w:rPr>
          <w:rFonts w:ascii="Times New Roman" w:eastAsia="Times New Roman" w:hAnsi="Times New Roman" w:cs="Times New Roman"/>
          <w:color w:val="000000"/>
          <w:sz w:val="24"/>
          <w:szCs w:val="24"/>
          <w:lang w:eastAsia="et-EE"/>
        </w:rPr>
      </w:pPr>
      <w:r w:rsidRPr="000024CE">
        <w:rPr>
          <w:rFonts w:ascii="Times New Roman" w:eastAsia="Times New Roman" w:hAnsi="Times New Roman" w:cs="Times New Roman"/>
          <w:color w:val="000000"/>
          <w:sz w:val="24"/>
          <w:szCs w:val="24"/>
          <w:lang w:eastAsia="et-EE"/>
        </w:rPr>
        <w:t xml:space="preserve">Täpsemad juhised tervishoiuasutuses </w:t>
      </w:r>
      <w:r w:rsidR="00782CD0" w:rsidRPr="000024CE">
        <w:rPr>
          <w:rFonts w:ascii="Times New Roman" w:eastAsia="Times New Roman" w:hAnsi="Times New Roman" w:cs="Times New Roman"/>
          <w:color w:val="000000"/>
          <w:sz w:val="24"/>
          <w:szCs w:val="24"/>
          <w:lang w:eastAsia="et-EE"/>
        </w:rPr>
        <w:t>valmistatud seadmete kohta tuuakse</w:t>
      </w:r>
      <w:r w:rsidRPr="000024CE">
        <w:rPr>
          <w:rFonts w:ascii="Times New Roman" w:eastAsia="Times New Roman" w:hAnsi="Times New Roman" w:cs="Times New Roman"/>
          <w:color w:val="000000"/>
          <w:sz w:val="24"/>
          <w:szCs w:val="24"/>
          <w:lang w:eastAsia="et-EE"/>
        </w:rPr>
        <w:t xml:space="preserve"> välja eraldi </w:t>
      </w:r>
      <w:r w:rsidR="00B20DD2" w:rsidRPr="000024CE">
        <w:rPr>
          <w:rFonts w:ascii="Times New Roman" w:eastAsia="Times New Roman" w:hAnsi="Times New Roman" w:cs="Times New Roman"/>
          <w:color w:val="000000"/>
          <w:sz w:val="24"/>
          <w:szCs w:val="24"/>
          <w:lang w:eastAsia="et-EE"/>
        </w:rPr>
        <w:t>töörühma</w:t>
      </w:r>
      <w:r w:rsidR="00782CD0" w:rsidRPr="000024CE">
        <w:rPr>
          <w:rFonts w:ascii="Times New Roman" w:eastAsia="Times New Roman" w:hAnsi="Times New Roman" w:cs="Times New Roman"/>
          <w:color w:val="000000"/>
          <w:sz w:val="24"/>
          <w:szCs w:val="24"/>
          <w:lang w:eastAsia="et-EE"/>
        </w:rPr>
        <w:t xml:space="preserve"> juhend</w:t>
      </w:r>
      <w:r w:rsidRPr="000024CE">
        <w:rPr>
          <w:rFonts w:ascii="Times New Roman" w:eastAsia="Times New Roman" w:hAnsi="Times New Roman" w:cs="Times New Roman"/>
          <w:color w:val="000000"/>
          <w:sz w:val="24"/>
          <w:szCs w:val="24"/>
          <w:lang w:eastAsia="et-EE"/>
        </w:rPr>
        <w:t>dokumendis.</w:t>
      </w:r>
    </w:p>
    <w:sectPr w:rsidR="00446FB4" w:rsidRPr="000024CE" w:rsidSect="00963A76">
      <w:footerReference w:type="default" r:id="rId14"/>
      <w:pgSz w:w="11906" w:h="16838"/>
      <w:pgMar w:top="1417" w:right="1417" w:bottom="709" w:left="1417" w:header="0" w:footer="42"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229BC" w16cex:dateUtc="2024-04-11T06:19:00Z"/>
  <w16cex:commentExtensible w16cex:durableId="29C22596" w16cex:dateUtc="2024-04-11T06:02:00Z"/>
  <w16cex:commentExtensible w16cex:durableId="29C22875" w16cex:dateUtc="2024-04-11T06:14:00Z"/>
  <w16cex:commentExtensible w16cex:durableId="29C22A22" w16cex:dateUtc="2024-04-11T06:21:00Z"/>
  <w16cex:commentExtensible w16cex:durableId="29C22D30" w16cex:dateUtc="2024-04-11T06:34:00Z"/>
  <w16cex:commentExtensible w16cex:durableId="29C22D81" w16cex:dateUtc="2024-04-11T06:36:00Z"/>
  <w16cex:commentExtensible w16cex:durableId="29C22C25" w16cex:dateUtc="2024-04-11T06:30:00Z"/>
  <w16cex:commentExtensible w16cex:durableId="29C22DEB" w16cex:dateUtc="2024-04-1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65FB3" w16cid:durableId="29C229BC"/>
  <w16cid:commentId w16cid:paraId="0FFC102F" w16cid:durableId="29C22596"/>
  <w16cid:commentId w16cid:paraId="390DB634" w16cid:durableId="29C22875"/>
  <w16cid:commentId w16cid:paraId="738144B0" w16cid:durableId="29C22A22"/>
  <w16cid:commentId w16cid:paraId="51BDB911" w16cid:durableId="29C22D30"/>
  <w16cid:commentId w16cid:paraId="0234A37B" w16cid:durableId="29C22D81"/>
  <w16cid:commentId w16cid:paraId="00E05D91" w16cid:durableId="29C22C25"/>
  <w16cid:commentId w16cid:paraId="73E406D3" w16cid:durableId="29C22D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5A00" w14:textId="77777777" w:rsidR="008A6117" w:rsidRDefault="008A6117">
      <w:pPr>
        <w:spacing w:after="0" w:line="240" w:lineRule="auto"/>
      </w:pPr>
      <w:r>
        <w:separator/>
      </w:r>
    </w:p>
  </w:endnote>
  <w:endnote w:type="continuationSeparator" w:id="0">
    <w:p w14:paraId="5215838C" w14:textId="77777777" w:rsidR="008A6117" w:rsidRDefault="008A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74395"/>
      <w:docPartObj>
        <w:docPartGallery w:val="Page Numbers (Top of Page)"/>
        <w:docPartUnique/>
      </w:docPartObj>
    </w:sdtPr>
    <w:sdtEndPr/>
    <w:sdtContent>
      <w:p w14:paraId="6A4B4D6B" w14:textId="197539FA" w:rsidR="00305FAE" w:rsidRPr="004840AC" w:rsidRDefault="000A0C31">
        <w:pPr>
          <w:pStyle w:val="Jalus"/>
          <w:jc w:val="right"/>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Määruse (EL) 2017_746 juhendmaterjal v01</w:t>
        </w:r>
        <w:r>
          <w:rPr>
            <w:sz w:val="16"/>
            <w:szCs w:val="16"/>
          </w:rPr>
          <w:fldChar w:fldCharType="end"/>
        </w:r>
        <w:r w:rsidR="00886024">
          <w:tab/>
        </w:r>
        <w:r w:rsidR="00886024">
          <w:tab/>
        </w:r>
        <w:r w:rsidR="000A6BA0" w:rsidRPr="00AE6111">
          <w:rPr>
            <w:sz w:val="18"/>
            <w:szCs w:val="18"/>
          </w:rPr>
          <w:t xml:space="preserve">Lk </w:t>
        </w:r>
        <w:r w:rsidR="000A6BA0" w:rsidRPr="00AE6111">
          <w:rPr>
            <w:bCs/>
            <w:sz w:val="18"/>
            <w:szCs w:val="18"/>
          </w:rPr>
          <w:fldChar w:fldCharType="begin"/>
        </w:r>
        <w:r w:rsidR="000A6BA0" w:rsidRPr="00AE6111">
          <w:rPr>
            <w:bCs/>
            <w:sz w:val="18"/>
            <w:szCs w:val="18"/>
          </w:rPr>
          <w:instrText xml:space="preserve"> PAGE </w:instrText>
        </w:r>
        <w:r w:rsidR="000A6BA0" w:rsidRPr="00AE6111">
          <w:rPr>
            <w:bCs/>
            <w:sz w:val="18"/>
            <w:szCs w:val="18"/>
          </w:rPr>
          <w:fldChar w:fldCharType="separate"/>
        </w:r>
        <w:r w:rsidR="007B64AA">
          <w:rPr>
            <w:bCs/>
            <w:noProof/>
            <w:sz w:val="18"/>
            <w:szCs w:val="18"/>
          </w:rPr>
          <w:t>1</w:t>
        </w:r>
        <w:r w:rsidR="000A6BA0" w:rsidRPr="00AE6111">
          <w:rPr>
            <w:bCs/>
            <w:sz w:val="18"/>
            <w:szCs w:val="18"/>
          </w:rPr>
          <w:fldChar w:fldCharType="end"/>
        </w:r>
        <w:r w:rsidR="000A6BA0" w:rsidRPr="00AE6111">
          <w:rPr>
            <w:sz w:val="18"/>
            <w:szCs w:val="18"/>
          </w:rPr>
          <w:t xml:space="preserve"> / </w:t>
        </w:r>
        <w:r w:rsidR="000A6BA0" w:rsidRPr="00AE6111">
          <w:rPr>
            <w:bCs/>
            <w:sz w:val="18"/>
            <w:szCs w:val="18"/>
          </w:rPr>
          <w:fldChar w:fldCharType="begin"/>
        </w:r>
        <w:r w:rsidR="000A6BA0" w:rsidRPr="00AE6111">
          <w:rPr>
            <w:bCs/>
            <w:sz w:val="18"/>
            <w:szCs w:val="18"/>
          </w:rPr>
          <w:instrText xml:space="preserve"> NUMPAGES </w:instrText>
        </w:r>
        <w:r w:rsidR="000A6BA0" w:rsidRPr="00AE6111">
          <w:rPr>
            <w:bCs/>
            <w:sz w:val="18"/>
            <w:szCs w:val="18"/>
          </w:rPr>
          <w:fldChar w:fldCharType="separate"/>
        </w:r>
        <w:r w:rsidR="007B64AA">
          <w:rPr>
            <w:bCs/>
            <w:noProof/>
            <w:sz w:val="18"/>
            <w:szCs w:val="18"/>
          </w:rPr>
          <w:t>5</w:t>
        </w:r>
        <w:r w:rsidR="000A6BA0" w:rsidRPr="00AE6111">
          <w:rPr>
            <w:bCs/>
            <w:sz w:val="18"/>
            <w:szCs w:val="18"/>
          </w:rPr>
          <w:fldChar w:fldCharType="end"/>
        </w:r>
      </w:p>
    </w:sdtContent>
  </w:sdt>
  <w:p w14:paraId="65E6049E" w14:textId="77777777" w:rsidR="00305FAE" w:rsidRDefault="00305FA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8061" w14:textId="77777777" w:rsidR="008A6117" w:rsidRDefault="008A6117">
      <w:pPr>
        <w:spacing w:after="0" w:line="240" w:lineRule="auto"/>
      </w:pPr>
      <w:r>
        <w:separator/>
      </w:r>
    </w:p>
  </w:footnote>
  <w:footnote w:type="continuationSeparator" w:id="0">
    <w:p w14:paraId="45D6B81B" w14:textId="77777777" w:rsidR="008A6117" w:rsidRDefault="008A6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5D88"/>
    <w:multiLevelType w:val="multilevel"/>
    <w:tmpl w:val="C87A7C5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A903C0D"/>
    <w:multiLevelType w:val="multilevel"/>
    <w:tmpl w:val="0AE2C190"/>
    <w:lvl w:ilvl="0">
      <w:start w:val="1"/>
      <w:numFmt w:val="decimal"/>
      <w:lvlText w:val="(%1)"/>
      <w:lvlJc w:val="left"/>
      <w:pPr>
        <w:tabs>
          <w:tab w:val="num" w:pos="-76"/>
        </w:tabs>
        <w:ind w:left="644" w:hanging="360"/>
      </w:pPr>
      <w:rPr>
        <w:b/>
      </w:rPr>
    </w:lvl>
    <w:lvl w:ilvl="1">
      <w:start w:val="1"/>
      <w:numFmt w:val="lowerLetter"/>
      <w:lvlText w:val="%2."/>
      <w:lvlJc w:val="left"/>
      <w:pPr>
        <w:tabs>
          <w:tab w:val="num" w:pos="-142"/>
        </w:tabs>
        <w:ind w:left="1298" w:hanging="360"/>
      </w:p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2" w15:restartNumberingAfterBreak="0">
    <w:nsid w:val="2040683F"/>
    <w:multiLevelType w:val="multilevel"/>
    <w:tmpl w:val="FD66E8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5602ED"/>
    <w:multiLevelType w:val="multilevel"/>
    <w:tmpl w:val="CFEC25E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9FE6656"/>
    <w:multiLevelType w:val="multilevel"/>
    <w:tmpl w:val="6EC2A5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DCF1FEC"/>
    <w:multiLevelType w:val="hybridMultilevel"/>
    <w:tmpl w:val="CEECC9A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AE"/>
    <w:rsid w:val="000024CE"/>
    <w:rsid w:val="00006676"/>
    <w:rsid w:val="000424E7"/>
    <w:rsid w:val="000556CD"/>
    <w:rsid w:val="000618C3"/>
    <w:rsid w:val="00077896"/>
    <w:rsid w:val="00087B2C"/>
    <w:rsid w:val="000A0C31"/>
    <w:rsid w:val="000A6BA0"/>
    <w:rsid w:val="000B6F22"/>
    <w:rsid w:val="000B7C66"/>
    <w:rsid w:val="000C3A52"/>
    <w:rsid w:val="000D265C"/>
    <w:rsid w:val="0012207B"/>
    <w:rsid w:val="00141F08"/>
    <w:rsid w:val="00143CA1"/>
    <w:rsid w:val="00156403"/>
    <w:rsid w:val="00163385"/>
    <w:rsid w:val="001A0D74"/>
    <w:rsid w:val="001A6017"/>
    <w:rsid w:val="001C6892"/>
    <w:rsid w:val="001C7EC7"/>
    <w:rsid w:val="001E463F"/>
    <w:rsid w:val="001E480F"/>
    <w:rsid w:val="002125F5"/>
    <w:rsid w:val="00240AB2"/>
    <w:rsid w:val="0024719F"/>
    <w:rsid w:val="00253B46"/>
    <w:rsid w:val="002626BA"/>
    <w:rsid w:val="0027133D"/>
    <w:rsid w:val="0029319D"/>
    <w:rsid w:val="002A0698"/>
    <w:rsid w:val="002A1778"/>
    <w:rsid w:val="002A75A5"/>
    <w:rsid w:val="002B54A1"/>
    <w:rsid w:val="002D528B"/>
    <w:rsid w:val="002E1CD6"/>
    <w:rsid w:val="002E3203"/>
    <w:rsid w:val="002F0CD3"/>
    <w:rsid w:val="002F5C60"/>
    <w:rsid w:val="003025C8"/>
    <w:rsid w:val="00305FAE"/>
    <w:rsid w:val="003270C5"/>
    <w:rsid w:val="00334E91"/>
    <w:rsid w:val="003572C8"/>
    <w:rsid w:val="00365A8A"/>
    <w:rsid w:val="0038519C"/>
    <w:rsid w:val="003A1DBA"/>
    <w:rsid w:val="003A4120"/>
    <w:rsid w:val="003B1306"/>
    <w:rsid w:val="003C0AE6"/>
    <w:rsid w:val="003E0CAE"/>
    <w:rsid w:val="003E272C"/>
    <w:rsid w:val="003F23E9"/>
    <w:rsid w:val="00432545"/>
    <w:rsid w:val="00446FB4"/>
    <w:rsid w:val="00457D74"/>
    <w:rsid w:val="00482ED7"/>
    <w:rsid w:val="004840AC"/>
    <w:rsid w:val="00492C3A"/>
    <w:rsid w:val="00493476"/>
    <w:rsid w:val="004C4B71"/>
    <w:rsid w:val="004D0F4F"/>
    <w:rsid w:val="005110A7"/>
    <w:rsid w:val="00541AF2"/>
    <w:rsid w:val="00546876"/>
    <w:rsid w:val="00554AF3"/>
    <w:rsid w:val="005960A2"/>
    <w:rsid w:val="005B3BB5"/>
    <w:rsid w:val="005B679D"/>
    <w:rsid w:val="005B6A12"/>
    <w:rsid w:val="005B7518"/>
    <w:rsid w:val="005C5E3F"/>
    <w:rsid w:val="005E0265"/>
    <w:rsid w:val="005F6FA6"/>
    <w:rsid w:val="0062232B"/>
    <w:rsid w:val="00643199"/>
    <w:rsid w:val="0065240F"/>
    <w:rsid w:val="00671C68"/>
    <w:rsid w:val="00671D29"/>
    <w:rsid w:val="006826FD"/>
    <w:rsid w:val="00690D4E"/>
    <w:rsid w:val="006A08E8"/>
    <w:rsid w:val="006A1D0F"/>
    <w:rsid w:val="006B7AB9"/>
    <w:rsid w:val="006C1D10"/>
    <w:rsid w:val="006D71E8"/>
    <w:rsid w:val="006E6F97"/>
    <w:rsid w:val="00715036"/>
    <w:rsid w:val="007401E1"/>
    <w:rsid w:val="0076286F"/>
    <w:rsid w:val="00772338"/>
    <w:rsid w:val="00782CD0"/>
    <w:rsid w:val="00793A27"/>
    <w:rsid w:val="007B5FE6"/>
    <w:rsid w:val="007B64AA"/>
    <w:rsid w:val="007D4404"/>
    <w:rsid w:val="007E2A88"/>
    <w:rsid w:val="007E687F"/>
    <w:rsid w:val="0081466E"/>
    <w:rsid w:val="0082091B"/>
    <w:rsid w:val="008434E2"/>
    <w:rsid w:val="00843A08"/>
    <w:rsid w:val="008613EE"/>
    <w:rsid w:val="00864419"/>
    <w:rsid w:val="008769D3"/>
    <w:rsid w:val="00877DCE"/>
    <w:rsid w:val="00886024"/>
    <w:rsid w:val="008867CC"/>
    <w:rsid w:val="00892191"/>
    <w:rsid w:val="00895710"/>
    <w:rsid w:val="008A6117"/>
    <w:rsid w:val="008C162F"/>
    <w:rsid w:val="008F1866"/>
    <w:rsid w:val="00905266"/>
    <w:rsid w:val="00927F48"/>
    <w:rsid w:val="00930488"/>
    <w:rsid w:val="009306A7"/>
    <w:rsid w:val="00933DB7"/>
    <w:rsid w:val="00934F19"/>
    <w:rsid w:val="00963A76"/>
    <w:rsid w:val="0096473A"/>
    <w:rsid w:val="00970C74"/>
    <w:rsid w:val="009867BF"/>
    <w:rsid w:val="00990898"/>
    <w:rsid w:val="009A6643"/>
    <w:rsid w:val="009D41E5"/>
    <w:rsid w:val="009E41EB"/>
    <w:rsid w:val="009E4273"/>
    <w:rsid w:val="00A03788"/>
    <w:rsid w:val="00A073B5"/>
    <w:rsid w:val="00A2508B"/>
    <w:rsid w:val="00A353EE"/>
    <w:rsid w:val="00A5592A"/>
    <w:rsid w:val="00A5682A"/>
    <w:rsid w:val="00A73977"/>
    <w:rsid w:val="00A86D2B"/>
    <w:rsid w:val="00A96663"/>
    <w:rsid w:val="00AB4C03"/>
    <w:rsid w:val="00AB5140"/>
    <w:rsid w:val="00AE4F66"/>
    <w:rsid w:val="00AE6111"/>
    <w:rsid w:val="00B134AC"/>
    <w:rsid w:val="00B1424B"/>
    <w:rsid w:val="00B16167"/>
    <w:rsid w:val="00B20DD2"/>
    <w:rsid w:val="00B33EC0"/>
    <w:rsid w:val="00B55136"/>
    <w:rsid w:val="00B6618E"/>
    <w:rsid w:val="00B82D69"/>
    <w:rsid w:val="00B94D59"/>
    <w:rsid w:val="00BC4DFA"/>
    <w:rsid w:val="00BD28E8"/>
    <w:rsid w:val="00BE56EB"/>
    <w:rsid w:val="00C344A7"/>
    <w:rsid w:val="00C46C90"/>
    <w:rsid w:val="00C55D4C"/>
    <w:rsid w:val="00C650A6"/>
    <w:rsid w:val="00C7062F"/>
    <w:rsid w:val="00CA1A8C"/>
    <w:rsid w:val="00CA4A27"/>
    <w:rsid w:val="00CB1771"/>
    <w:rsid w:val="00CB6546"/>
    <w:rsid w:val="00CC1DE5"/>
    <w:rsid w:val="00CC5845"/>
    <w:rsid w:val="00CE042E"/>
    <w:rsid w:val="00CE3A37"/>
    <w:rsid w:val="00CF0489"/>
    <w:rsid w:val="00D3402C"/>
    <w:rsid w:val="00D42C05"/>
    <w:rsid w:val="00D63588"/>
    <w:rsid w:val="00D87279"/>
    <w:rsid w:val="00D92AB1"/>
    <w:rsid w:val="00DB7EC7"/>
    <w:rsid w:val="00DD7F70"/>
    <w:rsid w:val="00DE1B5B"/>
    <w:rsid w:val="00DE220F"/>
    <w:rsid w:val="00DF06B8"/>
    <w:rsid w:val="00DF0A39"/>
    <w:rsid w:val="00E077F6"/>
    <w:rsid w:val="00E34541"/>
    <w:rsid w:val="00E55D0A"/>
    <w:rsid w:val="00E5688D"/>
    <w:rsid w:val="00E90BBC"/>
    <w:rsid w:val="00E91007"/>
    <w:rsid w:val="00E93F18"/>
    <w:rsid w:val="00EB4637"/>
    <w:rsid w:val="00EB727B"/>
    <w:rsid w:val="00EC15A8"/>
    <w:rsid w:val="00EC6FA3"/>
    <w:rsid w:val="00ED2F0C"/>
    <w:rsid w:val="00ED6EB0"/>
    <w:rsid w:val="00EE0B60"/>
    <w:rsid w:val="00EE5515"/>
    <w:rsid w:val="00F0762E"/>
    <w:rsid w:val="00F11F98"/>
    <w:rsid w:val="00F51853"/>
    <w:rsid w:val="00F85A52"/>
    <w:rsid w:val="00FC7583"/>
    <w:rsid w:val="00FD4E8A"/>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2E3FC1"/>
  <w15:docId w15:val="{86D637CE-7B19-4156-98B5-BD2485EC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val="0"/>
      <w:spacing w:after="160" w:line="259" w:lineRule="auto"/>
    </w:pPr>
  </w:style>
  <w:style w:type="paragraph" w:styleId="Pealkiri1">
    <w:name w:val="heading 1"/>
    <w:basedOn w:val="Normaallaad"/>
    <w:next w:val="Normaallaad"/>
    <w:link w:val="Pealkiri1Mrk"/>
    <w:uiPriority w:val="9"/>
    <w:qFormat/>
    <w:rsid w:val="009978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A55AC"/>
    <w:rPr>
      <w:color w:val="0563C1" w:themeColor="hyperlink"/>
      <w:u w:val="single"/>
    </w:rPr>
  </w:style>
  <w:style w:type="character" w:customStyle="1" w:styleId="Lahendamatamainimine1">
    <w:name w:val="Lahendamata mainimine1"/>
    <w:basedOn w:val="Liguvaikefont"/>
    <w:uiPriority w:val="99"/>
    <w:semiHidden/>
    <w:unhideWhenUsed/>
    <w:qFormat/>
    <w:rsid w:val="00FA55AC"/>
    <w:rPr>
      <w:color w:val="605E5C"/>
      <w:shd w:val="clear" w:color="auto" w:fill="E1DFDD"/>
    </w:rPr>
  </w:style>
  <w:style w:type="character" w:styleId="Klastatudhperlink">
    <w:name w:val="FollowedHyperlink"/>
    <w:basedOn w:val="Liguvaikefont"/>
    <w:uiPriority w:val="99"/>
    <w:semiHidden/>
    <w:unhideWhenUsed/>
    <w:rsid w:val="00BB3057"/>
    <w:rPr>
      <w:color w:val="954F72" w:themeColor="followedHyperlink"/>
      <w:u w:val="single"/>
    </w:rPr>
  </w:style>
  <w:style w:type="character" w:customStyle="1" w:styleId="Pealkiri1Mrk">
    <w:name w:val="Pealkiri 1 Märk"/>
    <w:basedOn w:val="Liguvaikefont"/>
    <w:link w:val="Pealkiri1"/>
    <w:uiPriority w:val="9"/>
    <w:qFormat/>
    <w:rsid w:val="009978F2"/>
    <w:rPr>
      <w:rFonts w:asciiTheme="majorHAnsi" w:eastAsiaTheme="majorEastAsia" w:hAnsiTheme="majorHAnsi" w:cstheme="majorBidi"/>
      <w:color w:val="2F5496" w:themeColor="accent1" w:themeShade="BF"/>
      <w:sz w:val="32"/>
      <w:szCs w:val="32"/>
    </w:rPr>
  </w:style>
  <w:style w:type="character" w:customStyle="1" w:styleId="PisMrk">
    <w:name w:val="Päis Märk"/>
    <w:basedOn w:val="Liguvaikefont"/>
    <w:link w:val="Pis"/>
    <w:uiPriority w:val="99"/>
    <w:qFormat/>
    <w:rsid w:val="007B1DA3"/>
  </w:style>
  <w:style w:type="character" w:customStyle="1" w:styleId="JalusMrk">
    <w:name w:val="Jalus Märk"/>
    <w:basedOn w:val="Liguvaikefont"/>
    <w:link w:val="Jalus"/>
    <w:uiPriority w:val="99"/>
    <w:qFormat/>
    <w:rsid w:val="007B1DA3"/>
  </w:style>
  <w:style w:type="character" w:customStyle="1" w:styleId="JutumullitekstMrk">
    <w:name w:val="Jutumullitekst Märk"/>
    <w:basedOn w:val="Liguvaikefont"/>
    <w:link w:val="Jutumullitekst"/>
    <w:uiPriority w:val="99"/>
    <w:semiHidden/>
    <w:qFormat/>
    <w:rsid w:val="00AA1563"/>
    <w:rPr>
      <w:rFonts w:ascii="Segoe UI" w:hAnsi="Segoe UI" w:cs="Segoe UI"/>
      <w:sz w:val="18"/>
      <w:szCs w:val="18"/>
    </w:rPr>
  </w:style>
  <w:style w:type="character" w:styleId="Kommentaariviide">
    <w:name w:val="annotation reference"/>
    <w:basedOn w:val="Liguvaikefont"/>
    <w:uiPriority w:val="99"/>
    <w:semiHidden/>
    <w:unhideWhenUsed/>
    <w:qFormat/>
    <w:rsid w:val="004A7E6A"/>
    <w:rPr>
      <w:sz w:val="16"/>
      <w:szCs w:val="16"/>
    </w:rPr>
  </w:style>
  <w:style w:type="character" w:customStyle="1" w:styleId="KommentaaritekstMrk">
    <w:name w:val="Kommentaari tekst Märk"/>
    <w:basedOn w:val="Liguvaikefont"/>
    <w:link w:val="Kommentaaritekst"/>
    <w:uiPriority w:val="99"/>
    <w:semiHidden/>
    <w:qFormat/>
    <w:rsid w:val="004A7E6A"/>
    <w:rPr>
      <w:sz w:val="20"/>
      <w:szCs w:val="20"/>
    </w:rPr>
  </w:style>
  <w:style w:type="character" w:customStyle="1" w:styleId="KommentaariteemaMrk">
    <w:name w:val="Kommentaari teema Märk"/>
    <w:basedOn w:val="KommentaaritekstMrk"/>
    <w:link w:val="Kommentaariteema"/>
    <w:uiPriority w:val="99"/>
    <w:semiHidden/>
    <w:qFormat/>
    <w:rsid w:val="004A7E6A"/>
    <w:rPr>
      <w:b/>
      <w:bCs/>
      <w:sz w:val="20"/>
      <w:szCs w:val="20"/>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allaad"/>
    <w:next w:val="Kehatekst"/>
    <w:qFormat/>
    <w:pPr>
      <w:keepNext/>
      <w:spacing w:before="240" w:after="120"/>
    </w:pPr>
    <w:rPr>
      <w:rFonts w:ascii="Carlito" w:eastAsia="Noto Sans SC Regular" w:hAnsi="Carlito" w:cs="Noto Sans Devanagari"/>
      <w:sz w:val="28"/>
      <w:szCs w:val="28"/>
    </w:rPr>
  </w:style>
  <w:style w:type="paragraph" w:styleId="Kehatekst">
    <w:name w:val="Body Text"/>
    <w:basedOn w:val="Normaallaad"/>
    <w:pPr>
      <w:spacing w:after="140" w:line="276" w:lineRule="auto"/>
    </w:pPr>
  </w:style>
  <w:style w:type="paragraph" w:styleId="Loend">
    <w:name w:val="List"/>
    <w:basedOn w:val="Kehatekst"/>
    <w:rPr>
      <w:rFonts w:cs="Noto Sans Devanagari"/>
    </w:rPr>
  </w:style>
  <w:style w:type="paragraph" w:styleId="Pealdis">
    <w:name w:val="caption"/>
    <w:basedOn w:val="Normaallaad"/>
    <w:qFormat/>
    <w:pPr>
      <w:suppressLineNumbers/>
      <w:spacing w:before="120" w:after="120"/>
    </w:pPr>
    <w:rPr>
      <w:rFonts w:cs="Noto Sans Devanagari"/>
      <w:i/>
      <w:iCs/>
      <w:sz w:val="24"/>
      <w:szCs w:val="24"/>
    </w:rPr>
  </w:style>
  <w:style w:type="paragraph" w:customStyle="1" w:styleId="Index">
    <w:name w:val="Index"/>
    <w:basedOn w:val="Normaallaad"/>
    <w:qFormat/>
    <w:pPr>
      <w:suppressLineNumbers/>
    </w:pPr>
    <w:rPr>
      <w:rFonts w:cs="Noto Sans Devanagari"/>
    </w:rPr>
  </w:style>
  <w:style w:type="paragraph" w:styleId="Loendilik">
    <w:name w:val="List Paragraph"/>
    <w:basedOn w:val="Normaallaad"/>
    <w:uiPriority w:val="34"/>
    <w:qFormat/>
    <w:rsid w:val="00D948C5"/>
    <w:pPr>
      <w:ind w:left="720"/>
      <w:contextualSpacing/>
    </w:pPr>
  </w:style>
  <w:style w:type="paragraph" w:styleId="Registripealkiri">
    <w:name w:val="index heading"/>
    <w:basedOn w:val="Heading"/>
  </w:style>
  <w:style w:type="paragraph" w:styleId="Sisukorrapealkiri">
    <w:name w:val="TOC Heading"/>
    <w:basedOn w:val="Pealkiri1"/>
    <w:next w:val="Normaallaad"/>
    <w:uiPriority w:val="39"/>
    <w:unhideWhenUsed/>
    <w:qFormat/>
    <w:rsid w:val="009978F2"/>
    <w:pPr>
      <w:outlineLvl w:val="9"/>
    </w:pPr>
    <w:rPr>
      <w:lang w:eastAsia="et-EE"/>
    </w:rPr>
  </w:style>
  <w:style w:type="paragraph" w:styleId="SK1">
    <w:name w:val="toc 1"/>
    <w:basedOn w:val="Normaallaad"/>
    <w:next w:val="Normaallaad"/>
    <w:autoRedefine/>
    <w:uiPriority w:val="39"/>
    <w:unhideWhenUsed/>
    <w:rsid w:val="009978F2"/>
    <w:pPr>
      <w:spacing w:after="100"/>
    </w:pPr>
  </w:style>
  <w:style w:type="paragraph" w:styleId="SK2">
    <w:name w:val="toc 2"/>
    <w:basedOn w:val="Normaallaad"/>
    <w:next w:val="Normaallaad"/>
    <w:autoRedefine/>
    <w:uiPriority w:val="39"/>
    <w:unhideWhenUsed/>
    <w:rsid w:val="009978F2"/>
    <w:pPr>
      <w:spacing w:after="100"/>
      <w:ind w:left="220"/>
    </w:pPr>
    <w:rPr>
      <w:rFonts w:eastAsiaTheme="minorEastAsia" w:cs="Times New Roman"/>
      <w:lang w:eastAsia="et-EE"/>
    </w:rPr>
  </w:style>
  <w:style w:type="paragraph" w:styleId="SK3">
    <w:name w:val="toc 3"/>
    <w:basedOn w:val="Normaallaad"/>
    <w:next w:val="Normaallaad"/>
    <w:autoRedefine/>
    <w:uiPriority w:val="39"/>
    <w:unhideWhenUsed/>
    <w:rsid w:val="009978F2"/>
    <w:pPr>
      <w:spacing w:after="100"/>
      <w:ind w:left="440"/>
    </w:pPr>
    <w:rPr>
      <w:rFonts w:eastAsiaTheme="minorEastAsia" w:cs="Times New Roman"/>
      <w:lang w:eastAsia="et-EE"/>
    </w:rPr>
  </w:style>
  <w:style w:type="paragraph" w:styleId="Normaallaadveeb">
    <w:name w:val="Normal (Web)"/>
    <w:basedOn w:val="Normaallaad"/>
    <w:uiPriority w:val="99"/>
    <w:semiHidden/>
    <w:unhideWhenUsed/>
    <w:qFormat/>
    <w:rsid w:val="009978F2"/>
    <w:pPr>
      <w:spacing w:beforeAutospacing="1" w:after="144" w:line="276" w:lineRule="auto"/>
    </w:pPr>
    <w:rPr>
      <w:rFonts w:ascii="Times New Roman" w:eastAsia="Times New Roman" w:hAnsi="Times New Roman" w:cs="Times New Roman"/>
      <w:color w:val="000000"/>
      <w:sz w:val="24"/>
      <w:szCs w:val="24"/>
      <w:lang w:eastAsia="et-EE"/>
    </w:rPr>
  </w:style>
  <w:style w:type="paragraph" w:customStyle="1" w:styleId="HeaderandFooter">
    <w:name w:val="Header and Footer"/>
    <w:basedOn w:val="Normaallaad"/>
    <w:qFormat/>
  </w:style>
  <w:style w:type="paragraph" w:styleId="Pis">
    <w:name w:val="header"/>
    <w:basedOn w:val="Normaallaad"/>
    <w:link w:val="PisMrk"/>
    <w:uiPriority w:val="99"/>
    <w:unhideWhenUsed/>
    <w:rsid w:val="007B1DA3"/>
    <w:pPr>
      <w:tabs>
        <w:tab w:val="center" w:pos="4536"/>
        <w:tab w:val="right" w:pos="9072"/>
      </w:tabs>
      <w:spacing w:after="0" w:line="240" w:lineRule="auto"/>
    </w:pPr>
  </w:style>
  <w:style w:type="paragraph" w:styleId="Jalus">
    <w:name w:val="footer"/>
    <w:basedOn w:val="Normaallaad"/>
    <w:link w:val="JalusMrk"/>
    <w:uiPriority w:val="99"/>
    <w:unhideWhenUsed/>
    <w:rsid w:val="007B1DA3"/>
    <w:pPr>
      <w:tabs>
        <w:tab w:val="center" w:pos="4536"/>
        <w:tab w:val="right" w:pos="9072"/>
      </w:tabs>
      <w:spacing w:after="0" w:line="240" w:lineRule="auto"/>
    </w:pPr>
  </w:style>
  <w:style w:type="paragraph" w:styleId="Jutumullitekst">
    <w:name w:val="Balloon Text"/>
    <w:basedOn w:val="Normaallaad"/>
    <w:link w:val="JutumullitekstMrk"/>
    <w:uiPriority w:val="99"/>
    <w:semiHidden/>
    <w:unhideWhenUsed/>
    <w:qFormat/>
    <w:rsid w:val="00AA1563"/>
    <w:pPr>
      <w:spacing w:after="0" w:line="240" w:lineRule="auto"/>
    </w:pPr>
    <w:rPr>
      <w:rFonts w:ascii="Segoe UI" w:hAnsi="Segoe UI" w:cs="Segoe UI"/>
      <w:sz w:val="18"/>
      <w:szCs w:val="18"/>
    </w:rPr>
  </w:style>
  <w:style w:type="paragraph" w:styleId="Kommentaaritekst">
    <w:name w:val="annotation text"/>
    <w:basedOn w:val="Normaallaad"/>
    <w:link w:val="KommentaaritekstMrk"/>
    <w:uiPriority w:val="99"/>
    <w:semiHidden/>
    <w:unhideWhenUsed/>
    <w:qFormat/>
    <w:rsid w:val="004A7E6A"/>
    <w:pPr>
      <w:spacing w:line="240" w:lineRule="auto"/>
    </w:pPr>
    <w:rPr>
      <w:sz w:val="20"/>
      <w:szCs w:val="20"/>
    </w:rPr>
  </w:style>
  <w:style w:type="paragraph" w:styleId="Kommentaariteema">
    <w:name w:val="annotation subject"/>
    <w:basedOn w:val="Kommentaaritekst"/>
    <w:next w:val="Kommentaaritekst"/>
    <w:link w:val="KommentaariteemaMrk"/>
    <w:uiPriority w:val="99"/>
    <w:semiHidden/>
    <w:unhideWhenUsed/>
    <w:qFormat/>
    <w:rsid w:val="004A7E6A"/>
    <w:rPr>
      <w:b/>
      <w:bCs/>
    </w:rPr>
  </w:style>
  <w:style w:type="character" w:customStyle="1" w:styleId="Lahendamatamainimine2">
    <w:name w:val="Lahendamata mainimine2"/>
    <w:basedOn w:val="Liguvaikefont"/>
    <w:uiPriority w:val="99"/>
    <w:semiHidden/>
    <w:unhideWhenUsed/>
    <w:rsid w:val="000C3A52"/>
    <w:rPr>
      <w:color w:val="605E5C"/>
      <w:shd w:val="clear" w:color="auto" w:fill="E1DFDD"/>
    </w:rPr>
  </w:style>
  <w:style w:type="character" w:customStyle="1" w:styleId="ui-provider">
    <w:name w:val="ui-provider"/>
    <w:basedOn w:val="Liguvaikefont"/>
    <w:rsid w:val="00DE1B5B"/>
  </w:style>
  <w:style w:type="character" w:customStyle="1" w:styleId="m">
    <w:name w:val="m"/>
    <w:basedOn w:val="Liguvaikefont"/>
    <w:rsid w:val="003572C8"/>
  </w:style>
  <w:style w:type="character" w:customStyle="1" w:styleId="r">
    <w:name w:val="r"/>
    <w:basedOn w:val="Liguvaikefont"/>
    <w:rsid w:val="003572C8"/>
  </w:style>
  <w:style w:type="character" w:customStyle="1" w:styleId="mt">
    <w:name w:val="mt"/>
    <w:basedOn w:val="Liguvaikefont"/>
    <w:rsid w:val="003572C8"/>
  </w:style>
  <w:style w:type="character" w:customStyle="1" w:styleId="d">
    <w:name w:val="d"/>
    <w:basedOn w:val="Liguvaikefont"/>
    <w:rsid w:val="003572C8"/>
  </w:style>
  <w:style w:type="character" w:customStyle="1" w:styleId="n">
    <w:name w:val="n"/>
    <w:basedOn w:val="Liguvaikefont"/>
    <w:rsid w:val="0035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1998L0079-20120111" TargetMode="External"/><Relationship Id="rId13" Type="http://schemas.openxmlformats.org/officeDocument/2006/relationships/hyperlink" Target="https://health.ec.europa.eu/system/files/2023-01/mdcg_2023-1_en.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9MDCG%202020-16%20Guidance%20on%20Classification%20Rules%20for%20in%20vitro%20Diagnostic%20Medical%20Devices%20under%20Regulation%20(EU)%202017/7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9F98.D54514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ur-lex.europa.eu/legal-content/EN/TXT/?uri=CELEX%3A02017R0746-20230320"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86B1-840A-47F6-963D-2382F745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1967</Words>
  <Characters>11410</Characters>
  <Application>Microsoft Office Word</Application>
  <DocSecurity>0</DocSecurity>
  <Lines>95</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TEHIK</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Grigorova</dc:creator>
  <dc:description/>
  <cp:lastModifiedBy>Kai Jõers</cp:lastModifiedBy>
  <cp:revision>4</cp:revision>
  <cp:lastPrinted>2023-05-05T11:41:00Z</cp:lastPrinted>
  <dcterms:created xsi:type="dcterms:W3CDTF">2024-04-12T11:29:00Z</dcterms:created>
  <dcterms:modified xsi:type="dcterms:W3CDTF">2024-04-19T06:01:00Z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